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AB2D" w14:textId="77777777" w:rsidR="00AF78D5" w:rsidRPr="00704FB4" w:rsidRDefault="00AF78D5" w:rsidP="00AF78D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УТВЕРЖДЕНА</w:t>
      </w:r>
    </w:p>
    <w:p w14:paraId="480AAEA5" w14:textId="77777777" w:rsidR="00AF78D5" w:rsidRPr="00704FB4" w:rsidRDefault="00AF78D5" w:rsidP="00AF78D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Приказом Председателя </w:t>
      </w:r>
    </w:p>
    <w:p w14:paraId="0D06D906" w14:textId="77777777" w:rsidR="00AF78D5" w:rsidRPr="00704FB4" w:rsidRDefault="00AF78D5" w:rsidP="00AF78D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РГУ «Комитет медицинского и </w:t>
      </w:r>
    </w:p>
    <w:p w14:paraId="5CDACCDA" w14:textId="15418137" w:rsidR="00AF78D5" w:rsidRPr="00704FB4" w:rsidRDefault="00AF78D5" w:rsidP="00AF78D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фармацевтического контроля</w:t>
      </w:r>
    </w:p>
    <w:p w14:paraId="50F1AA06" w14:textId="77777777" w:rsidR="00AF78D5" w:rsidRPr="00704FB4" w:rsidRDefault="00AF78D5" w:rsidP="00AF78D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Министерства здравоохранения </w:t>
      </w:r>
    </w:p>
    <w:p w14:paraId="6214986C" w14:textId="77777777" w:rsidR="00AF78D5" w:rsidRPr="00704FB4" w:rsidRDefault="00AF78D5" w:rsidP="00AF78D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Республики Казахстан»</w:t>
      </w:r>
    </w:p>
    <w:p w14:paraId="78961EE6" w14:textId="77777777" w:rsidR="00FE1592" w:rsidRPr="00FE1592" w:rsidRDefault="00FE1592" w:rsidP="00FE1592">
      <w:pPr>
        <w:spacing w:after="0" w:line="240" w:lineRule="auto"/>
        <w:ind w:left="567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FE159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 «</w:t>
      </w:r>
      <w:proofErr w:type="gramStart"/>
      <w:r w:rsidRPr="00FE159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02»  05</w:t>
      </w:r>
      <w:proofErr w:type="gramEnd"/>
      <w:r w:rsidRPr="00FE159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2023 г.</w:t>
      </w:r>
    </w:p>
    <w:p w14:paraId="27557A4C" w14:textId="08E15F3C" w:rsidR="00AF78D5" w:rsidRDefault="00FE1592" w:rsidP="00FE1592">
      <w:pPr>
        <w:spacing w:after="0" w:line="240" w:lineRule="auto"/>
        <w:ind w:left="567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FE159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№ N062893</w:t>
      </w:r>
    </w:p>
    <w:p w14:paraId="490F3EB0" w14:textId="77777777" w:rsidR="00FE1592" w:rsidRPr="00704FB4" w:rsidRDefault="00FE1592" w:rsidP="00FE1592">
      <w:pPr>
        <w:spacing w:after="0" w:line="240" w:lineRule="auto"/>
        <w:ind w:left="5670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</w:p>
    <w:p w14:paraId="3CF2137B" w14:textId="77777777" w:rsidR="006B4300" w:rsidRPr="00704FB4" w:rsidRDefault="00A75F5E" w:rsidP="00D0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ЛЕКАРСТВЕННОГО ПРЕПАРАТА</w:t>
      </w:r>
    </w:p>
    <w:p w14:paraId="2DE23884" w14:textId="77777777" w:rsidR="00A75F5E" w:rsidRPr="00704FB4" w:rsidRDefault="00A75F5E" w:rsidP="00D0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9EE9D5" w14:textId="77777777" w:rsidR="009C166C" w:rsidRPr="00704FB4" w:rsidRDefault="007471D2" w:rsidP="00D073DF">
      <w:pPr>
        <w:pStyle w:val="af7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НАИМЕНОВАНИЕ ЛЕКАРСТВЕННОГО ПРЕПАРАТА</w:t>
      </w:r>
    </w:p>
    <w:p w14:paraId="1D7D6DF7" w14:textId="77777777" w:rsidR="00CB4506" w:rsidRPr="00704FB4" w:rsidRDefault="00CB4506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>, 200 мг/300 мг, таблетки, покрытые пленочной оболочкой</w:t>
      </w:r>
      <w:r w:rsidR="005D7D1D" w:rsidRPr="00704F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0718C" w14:textId="77777777" w:rsidR="007471D2" w:rsidRPr="00704FB4" w:rsidRDefault="007471D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0F95F" w14:textId="77777777" w:rsidR="009C166C" w:rsidRPr="00704FB4" w:rsidRDefault="007471D2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2. КАЧЕСТВЕННЫЙ И КОЛИЧЕСТВЕННЫЙ СОСТАВ</w:t>
      </w:r>
    </w:p>
    <w:p w14:paraId="35ABB8E8" w14:textId="77777777" w:rsidR="007471D2" w:rsidRPr="00704FB4" w:rsidRDefault="007471D2" w:rsidP="00D073DF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4FB4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2.1 Общее описание</w:t>
      </w:r>
      <w:r w:rsidRPr="00704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7E17ED1" w14:textId="77777777" w:rsidR="007471D2" w:rsidRPr="00704FB4" w:rsidRDefault="00F53942" w:rsidP="00D073DF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Эмтрицитабин</w:t>
      </w:r>
      <w:proofErr w:type="spellEnd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тенофовира</w:t>
      </w:r>
      <w:proofErr w:type="spellEnd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дизопроксила</w:t>
      </w:r>
      <w:proofErr w:type="spellEnd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фумарат</w:t>
      </w:r>
      <w:proofErr w:type="spellEnd"/>
    </w:p>
    <w:p w14:paraId="40CAC5EF" w14:textId="77777777" w:rsidR="007471D2" w:rsidRPr="00704FB4" w:rsidRDefault="007471D2" w:rsidP="00D073DF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  <w:r w:rsidRPr="00704FB4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3E182988" w14:textId="77777777" w:rsidR="007471D2" w:rsidRPr="00704FB4" w:rsidRDefault="00F53942" w:rsidP="00D073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 таблетка</w:t>
      </w:r>
      <w:r w:rsidR="007471D2"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содержит </w:t>
      </w:r>
    </w:p>
    <w:p w14:paraId="3FFE19BA" w14:textId="54905EC8" w:rsidR="00F53942" w:rsidRPr="00704FB4" w:rsidRDefault="00120AF6" w:rsidP="00D073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активные вещества</w:t>
      </w:r>
      <w:r w:rsidR="007471D2" w:rsidRPr="0070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53942" w:rsidRPr="0070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 w:rsidR="007471D2" w:rsidRPr="0070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F53942"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эмтрицитабин</w:t>
      </w:r>
      <w:proofErr w:type="spellEnd"/>
      <w:r w:rsidR="00F53942"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 мг, </w:t>
      </w:r>
    </w:p>
    <w:p w14:paraId="122DCDD0" w14:textId="03E0725F" w:rsidR="007471D2" w:rsidRPr="00704FB4" w:rsidRDefault="00F53942" w:rsidP="00D073D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</w:t>
      </w:r>
      <w:r w:rsidR="00120AF6" w:rsidRPr="0070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Pr="0070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– </w:t>
      </w:r>
      <w:proofErr w:type="spellStart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тенофовира</w:t>
      </w:r>
      <w:proofErr w:type="spellEnd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дизопроксила</w:t>
      </w:r>
      <w:proofErr w:type="spellEnd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фумарат</w:t>
      </w:r>
      <w:proofErr w:type="spellEnd"/>
      <w:r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300 мг</w:t>
      </w:r>
      <w:r w:rsidR="007471D2" w:rsidRPr="0070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023D64DB" w14:textId="2B1C7F83" w:rsidR="00824CD9" w:rsidRPr="00704FB4" w:rsidRDefault="00824CD9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i/>
          <w:sz w:val="24"/>
          <w:szCs w:val="24"/>
        </w:rPr>
        <w:t xml:space="preserve">вспомогательные вещества: </w:t>
      </w:r>
      <w:r w:rsidRPr="00704FB4">
        <w:rPr>
          <w:rFonts w:ascii="Times New Roman" w:hAnsi="Times New Roman" w:cs="Times New Roman"/>
          <w:sz w:val="24"/>
          <w:szCs w:val="24"/>
        </w:rPr>
        <w:t>лактоза безводная (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24 AN) </w:t>
      </w:r>
      <w:r w:rsidR="00D073DF" w:rsidRPr="00704FB4">
        <w:rPr>
          <w:rFonts w:ascii="Times New Roman" w:hAnsi="Times New Roman" w:cs="Times New Roman"/>
          <w:sz w:val="24"/>
          <w:szCs w:val="24"/>
          <w:lang w:val="kk-KZ"/>
        </w:rPr>
        <w:t>145 мг</w:t>
      </w:r>
      <w:r w:rsidR="00D073DF" w:rsidRPr="00704FB4">
        <w:rPr>
          <w:rFonts w:ascii="Times New Roman" w:hAnsi="Times New Roman" w:cs="Times New Roman"/>
          <w:sz w:val="24"/>
          <w:szCs w:val="24"/>
        </w:rPr>
        <w:t xml:space="preserve">, натрия </w:t>
      </w:r>
      <w:proofErr w:type="spellStart"/>
      <w:r w:rsidR="00D073DF" w:rsidRPr="00704FB4">
        <w:rPr>
          <w:rFonts w:ascii="Times New Roman" w:hAnsi="Times New Roman" w:cs="Times New Roman"/>
          <w:sz w:val="24"/>
          <w:szCs w:val="24"/>
        </w:rPr>
        <w:t>кроскармеллоза</w:t>
      </w:r>
      <w:proofErr w:type="spellEnd"/>
      <w:r w:rsidR="00D073DF" w:rsidRPr="00704FB4">
        <w:rPr>
          <w:rFonts w:ascii="Times New Roman" w:hAnsi="Times New Roman" w:cs="Times New Roman"/>
          <w:sz w:val="24"/>
          <w:szCs w:val="24"/>
        </w:rPr>
        <w:t xml:space="preserve"> </w:t>
      </w:r>
      <w:r w:rsidRPr="00704F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Ac-di-sol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) </w:t>
      </w:r>
      <w:r w:rsidR="00D073DF" w:rsidRPr="00704FB4">
        <w:rPr>
          <w:rFonts w:ascii="Times New Roman" w:hAnsi="Times New Roman" w:cs="Times New Roman"/>
          <w:sz w:val="24"/>
          <w:szCs w:val="24"/>
        </w:rPr>
        <w:t>80 мг, лактозы моногидрат</w:t>
      </w:r>
      <w:r w:rsidR="009421A9" w:rsidRPr="00704FB4">
        <w:rPr>
          <w:rFonts w:ascii="Times New Roman" w:hAnsi="Times New Roman" w:cs="Times New Roman"/>
          <w:sz w:val="24"/>
          <w:szCs w:val="24"/>
        </w:rPr>
        <w:t>,</w:t>
      </w:r>
      <w:r w:rsidR="00D073DF" w:rsidRPr="00704FB4">
        <w:rPr>
          <w:rFonts w:ascii="Times New Roman" w:hAnsi="Times New Roman" w:cs="Times New Roman"/>
          <w:sz w:val="24"/>
          <w:szCs w:val="24"/>
        </w:rPr>
        <w:t xml:space="preserve"> </w:t>
      </w:r>
      <w:r w:rsidRPr="00704FB4">
        <w:rPr>
          <w:rFonts w:ascii="Times New Roman" w:hAnsi="Times New Roman" w:cs="Times New Roman"/>
          <w:sz w:val="24"/>
          <w:szCs w:val="24"/>
        </w:rPr>
        <w:t>FD&amp;C Голубой # 2 Индиг</w:t>
      </w:r>
      <w:r w:rsidR="00D073DF" w:rsidRPr="00704FB4">
        <w:rPr>
          <w:rFonts w:ascii="Times New Roman" w:hAnsi="Times New Roman" w:cs="Times New Roman"/>
          <w:sz w:val="24"/>
          <w:szCs w:val="24"/>
        </w:rPr>
        <w:t>окармина алюминиевый лак (Е132)</w:t>
      </w:r>
      <w:r w:rsidRPr="00704FB4">
        <w:rPr>
          <w:rFonts w:ascii="Times New Roman" w:hAnsi="Times New Roman" w:cs="Times New Roman"/>
          <w:sz w:val="24"/>
          <w:szCs w:val="24"/>
        </w:rPr>
        <w:t>.</w:t>
      </w:r>
    </w:p>
    <w:p w14:paraId="0852D332" w14:textId="77777777" w:rsidR="00824CD9" w:rsidRPr="00704FB4" w:rsidRDefault="00824CD9" w:rsidP="00D0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704FB4">
        <w:rPr>
          <w:rFonts w:ascii="Times New Roman" w:hAnsi="Times New Roman"/>
          <w:iCs/>
          <w:sz w:val="24"/>
          <w:szCs w:val="28"/>
          <w:lang w:eastAsia="ru-RU"/>
        </w:rPr>
        <w:t>Полный список вспомогательных веществ см. в пункте 6.1</w:t>
      </w:r>
      <w:r w:rsidRPr="00704FB4">
        <w:rPr>
          <w:rFonts w:ascii="Times New Roman" w:hAnsi="Times New Roman"/>
          <w:sz w:val="24"/>
          <w:szCs w:val="28"/>
          <w:lang w:eastAsia="ru-RU"/>
        </w:rPr>
        <w:t>.</w:t>
      </w:r>
      <w:r w:rsidR="005D7D1D" w:rsidRPr="00704FB4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14:paraId="6C7CCA07" w14:textId="77777777" w:rsidR="007471D2" w:rsidRPr="00704FB4" w:rsidRDefault="007471D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F6D77" w14:textId="77777777" w:rsidR="009C166C" w:rsidRPr="00704FB4" w:rsidRDefault="007471D2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3. ЛЕКАРСТВЕННАЯ ФОРМА</w:t>
      </w:r>
    </w:p>
    <w:p w14:paraId="09F72D66" w14:textId="77777777" w:rsidR="007471D2" w:rsidRPr="00704FB4" w:rsidRDefault="007471D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Таблетки, покрытые пленочной оболочкой</w:t>
      </w:r>
      <w:r w:rsidR="00120AF6" w:rsidRPr="00704FB4">
        <w:rPr>
          <w:rFonts w:ascii="Times New Roman" w:hAnsi="Times New Roman"/>
          <w:sz w:val="24"/>
          <w:szCs w:val="24"/>
        </w:rPr>
        <w:t>.</w:t>
      </w:r>
      <w:r w:rsidR="005D7D1D" w:rsidRPr="00704FB4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A955A40" w14:textId="1DE7B285" w:rsidR="00745D22" w:rsidRPr="00704FB4" w:rsidRDefault="00745D2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 xml:space="preserve">Таблетки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капсуловидной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формы, двояковыпуклые, покрытые пленочной </w:t>
      </w:r>
      <w:r w:rsidR="005903AB" w:rsidRPr="00704FB4">
        <w:rPr>
          <w:rFonts w:ascii="Times New Roman" w:hAnsi="Times New Roman" w:cs="Times New Roman"/>
          <w:sz w:val="24"/>
          <w:szCs w:val="24"/>
        </w:rPr>
        <w:t>оболочкой голубого</w:t>
      </w:r>
      <w:r w:rsidR="00443554" w:rsidRPr="00704FB4">
        <w:rPr>
          <w:rFonts w:ascii="Times New Roman" w:hAnsi="Times New Roman" w:cs="Times New Roman"/>
          <w:sz w:val="24"/>
          <w:szCs w:val="24"/>
        </w:rPr>
        <w:t xml:space="preserve"> цвета, с гравировкой «LA49»</w:t>
      </w:r>
      <w:r w:rsidRPr="00704FB4">
        <w:rPr>
          <w:rFonts w:ascii="Times New Roman" w:hAnsi="Times New Roman" w:cs="Times New Roman"/>
          <w:sz w:val="24"/>
          <w:szCs w:val="24"/>
        </w:rPr>
        <w:t xml:space="preserve"> на одной стороне и гладкие с другой стороны.</w:t>
      </w:r>
    </w:p>
    <w:p w14:paraId="7EB42BED" w14:textId="77777777" w:rsidR="007471D2" w:rsidRPr="00704FB4" w:rsidRDefault="007471D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62BC4" w14:textId="77777777" w:rsidR="009C166C" w:rsidRPr="00704FB4" w:rsidRDefault="00CF019C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4. КЛИНИЧЕСКИЕ ДАННЫЕ</w:t>
      </w:r>
    </w:p>
    <w:p w14:paraId="44C9E408" w14:textId="77777777" w:rsidR="009C166C" w:rsidRPr="00704FB4" w:rsidRDefault="00CF019C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4.1. Показания к применению</w:t>
      </w:r>
    </w:p>
    <w:p w14:paraId="103DDAFB" w14:textId="77777777" w:rsidR="00D1624C" w:rsidRPr="00704FB4" w:rsidRDefault="00742AC3" w:rsidP="004F42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4FB4">
        <w:rPr>
          <w:rFonts w:ascii="Times New Roman" w:hAnsi="Times New Roman" w:cs="Times New Roman"/>
          <w:i/>
          <w:sz w:val="24"/>
          <w:szCs w:val="24"/>
          <w:lang w:val="kk-KZ"/>
        </w:rPr>
        <w:t>Лечение ВИЧ-</w:t>
      </w:r>
      <w:r w:rsidR="00D1624C" w:rsidRPr="00704FB4">
        <w:rPr>
          <w:rFonts w:ascii="Times New Roman" w:hAnsi="Times New Roman" w:cs="Times New Roman"/>
          <w:i/>
          <w:sz w:val="24"/>
          <w:szCs w:val="24"/>
          <w:lang w:val="kk-KZ"/>
        </w:rPr>
        <w:t>инфекции</w:t>
      </w:r>
      <w:r w:rsidR="00D1624C" w:rsidRPr="00704FB4">
        <w:rPr>
          <w:rFonts w:ascii="Times New Roman" w:hAnsi="Times New Roman" w:cs="Times New Roman"/>
          <w:i/>
          <w:sz w:val="24"/>
          <w:szCs w:val="24"/>
        </w:rPr>
        <w:t>:</w:t>
      </w:r>
    </w:p>
    <w:p w14:paraId="30067B05" w14:textId="299BCA3E" w:rsidR="00745D22" w:rsidRPr="00704FB4" w:rsidRDefault="00745D22" w:rsidP="004F42A4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лечение ВИЧ-1 инфекции у взрослых в комбинации с другими антиретровирусными препаратами</w:t>
      </w:r>
      <w:r w:rsidR="00B67F78" w:rsidRPr="00704FB4">
        <w:rPr>
          <w:rFonts w:ascii="Times New Roman" w:hAnsi="Times New Roman" w:cs="Times New Roman"/>
          <w:sz w:val="24"/>
          <w:szCs w:val="24"/>
        </w:rPr>
        <w:t xml:space="preserve"> (см. </w:t>
      </w:r>
      <w:r w:rsidR="005903AB" w:rsidRPr="00704FB4">
        <w:rPr>
          <w:rFonts w:ascii="Times New Roman" w:hAnsi="Times New Roman" w:cs="Times New Roman"/>
          <w:sz w:val="24"/>
          <w:szCs w:val="24"/>
        </w:rPr>
        <w:t>р</w:t>
      </w:r>
      <w:r w:rsidR="00B67F78" w:rsidRPr="00704FB4">
        <w:rPr>
          <w:rFonts w:ascii="Times New Roman" w:hAnsi="Times New Roman" w:cs="Times New Roman"/>
          <w:sz w:val="24"/>
          <w:szCs w:val="24"/>
        </w:rPr>
        <w:t>аздел 5.1).</w:t>
      </w:r>
    </w:p>
    <w:p w14:paraId="03AA2C43" w14:textId="77777777" w:rsidR="00D1624C" w:rsidRPr="00704FB4" w:rsidRDefault="00D1624C" w:rsidP="004F42A4">
      <w:pPr>
        <w:spacing w:after="0" w:line="240" w:lineRule="auto"/>
        <w:jc w:val="both"/>
        <w:rPr>
          <w:rFonts w:ascii="Times New Roman" w:hAnsi="Times New Roman" w:cs="Times New Roman"/>
          <w:i/>
          <w:strike/>
          <w:color w:val="FF0000"/>
          <w:sz w:val="24"/>
          <w:szCs w:val="24"/>
        </w:rPr>
      </w:pPr>
      <w:proofErr w:type="spellStart"/>
      <w:r w:rsidRPr="00704FB4">
        <w:rPr>
          <w:rFonts w:ascii="Times New Roman" w:hAnsi="Times New Roman" w:cs="Times New Roman"/>
          <w:i/>
          <w:sz w:val="24"/>
          <w:szCs w:val="24"/>
        </w:rPr>
        <w:t>Доконтактная</w:t>
      </w:r>
      <w:proofErr w:type="spellEnd"/>
      <w:r w:rsidRPr="00704FB4">
        <w:rPr>
          <w:rFonts w:ascii="Times New Roman" w:hAnsi="Times New Roman" w:cs="Times New Roman"/>
          <w:i/>
          <w:sz w:val="24"/>
          <w:szCs w:val="24"/>
        </w:rPr>
        <w:t xml:space="preserve"> профилактика (ДКП):</w:t>
      </w:r>
    </w:p>
    <w:p w14:paraId="3270B7B8" w14:textId="7C909818" w:rsidR="00D1624C" w:rsidRPr="00704FB4" w:rsidRDefault="00D1624C" w:rsidP="004F42A4">
      <w:pPr>
        <w:pStyle w:val="af7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в сочетании со способами безопасного секса дл</w:t>
      </w:r>
      <w:r w:rsidR="00070721" w:rsidRPr="00704FB4">
        <w:rPr>
          <w:rFonts w:ascii="Times New Roman" w:hAnsi="Times New Roman" w:cs="Times New Roman"/>
          <w:sz w:val="24"/>
          <w:szCs w:val="24"/>
        </w:rPr>
        <w:t xml:space="preserve">я ДКП с целью снижения риска </w:t>
      </w:r>
      <w:r w:rsidRPr="00704FB4">
        <w:rPr>
          <w:rFonts w:ascii="Times New Roman" w:hAnsi="Times New Roman" w:cs="Times New Roman"/>
          <w:sz w:val="24"/>
          <w:szCs w:val="24"/>
        </w:rPr>
        <w:t>передачи половым путем ВИЧ-1-инфекции у взрослых при повышенном риске</w:t>
      </w:r>
      <w:r w:rsidR="00B67F78" w:rsidRPr="00704FB4">
        <w:rPr>
          <w:rFonts w:ascii="Times New Roman" w:hAnsi="Times New Roman" w:cs="Times New Roman"/>
          <w:sz w:val="24"/>
          <w:szCs w:val="24"/>
        </w:rPr>
        <w:t xml:space="preserve"> (см. </w:t>
      </w:r>
      <w:r w:rsidR="000A5E68" w:rsidRPr="00704FB4">
        <w:rPr>
          <w:rFonts w:ascii="Times New Roman" w:hAnsi="Times New Roman" w:cs="Times New Roman"/>
          <w:sz w:val="24"/>
          <w:szCs w:val="24"/>
        </w:rPr>
        <w:t>р</w:t>
      </w:r>
      <w:r w:rsidR="00B67F78" w:rsidRPr="00704FB4">
        <w:rPr>
          <w:rFonts w:ascii="Times New Roman" w:hAnsi="Times New Roman" w:cs="Times New Roman"/>
          <w:sz w:val="24"/>
          <w:szCs w:val="24"/>
        </w:rPr>
        <w:t>азделы 4.2, 4.4 и 5.1).</w:t>
      </w:r>
    </w:p>
    <w:p w14:paraId="2944DC38" w14:textId="77777777" w:rsidR="00D1624C" w:rsidRPr="00704FB4" w:rsidRDefault="00D1624C" w:rsidP="00D073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C12A08" w14:textId="77777777" w:rsidR="009C166C" w:rsidRPr="00704FB4" w:rsidRDefault="00CF019C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9C166C" w:rsidRPr="00704FB4">
        <w:rPr>
          <w:rFonts w:ascii="Times New Roman" w:hAnsi="Times New Roman" w:cs="Times New Roman"/>
          <w:b/>
          <w:sz w:val="24"/>
          <w:szCs w:val="24"/>
        </w:rPr>
        <w:t xml:space="preserve">Режим </w:t>
      </w:r>
      <w:r w:rsidRPr="00704FB4">
        <w:rPr>
          <w:rFonts w:ascii="Times New Roman" w:hAnsi="Times New Roman" w:cs="Times New Roman"/>
          <w:b/>
          <w:sz w:val="24"/>
          <w:szCs w:val="24"/>
        </w:rPr>
        <w:t>дозирования и способ применения</w:t>
      </w:r>
    </w:p>
    <w:p w14:paraId="7A765F00" w14:textId="77777777" w:rsidR="009C166C" w:rsidRPr="00704FB4" w:rsidRDefault="009C166C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Режим дозирования</w:t>
      </w:r>
    </w:p>
    <w:p w14:paraId="2A278AFF" w14:textId="77777777" w:rsidR="00745D22" w:rsidRPr="00704FB4" w:rsidRDefault="00745D2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 xml:space="preserve">Лечение препаратом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тенофовир</w:t>
      </w:r>
      <w:r w:rsidR="001F5844" w:rsidRPr="00704FB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F5844"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44" w:rsidRPr="00704FB4">
        <w:rPr>
          <w:rFonts w:ascii="Times New Roman" w:hAnsi="Times New Roman" w:cs="Times New Roman"/>
          <w:sz w:val="24"/>
          <w:szCs w:val="24"/>
        </w:rPr>
        <w:t>дизопроксила</w:t>
      </w:r>
      <w:proofErr w:type="spellEnd"/>
      <w:r w:rsidR="001F5844"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844" w:rsidRPr="00704FB4">
        <w:rPr>
          <w:rFonts w:ascii="Times New Roman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должен начать врач, который имеет опыт в лечении ВИЧ-инфекции.</w:t>
      </w:r>
    </w:p>
    <w:p w14:paraId="4A0C2630" w14:textId="1CEA60D0" w:rsidR="00745D22" w:rsidRPr="00704FB4" w:rsidRDefault="00745D22" w:rsidP="00D073DF">
      <w:pPr>
        <w:pStyle w:val="a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704FB4">
        <w:rPr>
          <w:rFonts w:ascii="Times New Roman" w:hAnsi="Times New Roman"/>
          <w:i/>
          <w:sz w:val="24"/>
          <w:szCs w:val="24"/>
          <w:lang w:val="ru-RU" w:bidi="ar-IQ"/>
        </w:rPr>
        <w:t xml:space="preserve">Лечение ВИЧ у взрослых </w:t>
      </w:r>
      <w:r w:rsidR="00C0322F" w:rsidRPr="00704FB4">
        <w:rPr>
          <w:rFonts w:ascii="Times New Roman" w:hAnsi="Times New Roman"/>
          <w:i/>
          <w:sz w:val="24"/>
          <w:szCs w:val="24"/>
          <w:lang w:val="ru-RU" w:bidi="ar-IQ"/>
        </w:rPr>
        <w:t>с</w:t>
      </w:r>
      <w:r w:rsidRPr="00704FB4">
        <w:rPr>
          <w:rFonts w:ascii="Times New Roman" w:hAnsi="Times New Roman"/>
          <w:i/>
          <w:sz w:val="24"/>
          <w:szCs w:val="24"/>
          <w:lang w:val="ru-RU" w:bidi="ar-IQ"/>
        </w:rPr>
        <w:t xml:space="preserve"> весом тела не менее 35 кг:</w:t>
      </w: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по одной таблетке один раз в сутки.</w:t>
      </w:r>
    </w:p>
    <w:p w14:paraId="4F21D933" w14:textId="6690DA03" w:rsidR="00E5668D" w:rsidRPr="00704FB4" w:rsidRDefault="00E5668D" w:rsidP="00D073DF">
      <w:pPr>
        <w:pStyle w:val="a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704FB4">
        <w:rPr>
          <w:rFonts w:ascii="Times New Roman" w:hAnsi="Times New Roman"/>
          <w:i/>
          <w:sz w:val="24"/>
          <w:szCs w:val="24"/>
          <w:lang w:val="ru-RU" w:bidi="ar-IQ"/>
        </w:rPr>
        <w:t>Профилактика ВИЧ у взрослых с весом тела не менее 35 кг:</w:t>
      </w: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по одной таблетке один раз в сутки.</w:t>
      </w:r>
    </w:p>
    <w:p w14:paraId="60966A98" w14:textId="77777777" w:rsidR="00745D22" w:rsidRPr="00704FB4" w:rsidRDefault="00745D22" w:rsidP="00D073DF">
      <w:pPr>
        <w:pStyle w:val="a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На случай необходимости прекращения приема или коррекции дозы одного из компонентов препарата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Эмтрицитабин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и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тенофовир</w:t>
      </w:r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дизопроксила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фумарат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имеются </w:t>
      </w:r>
      <w:r w:rsidRPr="00704FB4">
        <w:rPr>
          <w:rFonts w:ascii="Times New Roman" w:hAnsi="Times New Roman"/>
          <w:sz w:val="24"/>
          <w:szCs w:val="24"/>
          <w:lang w:val="ru-RU" w:bidi="ar-IQ"/>
        </w:rPr>
        <w:lastRenderedPageBreak/>
        <w:t xml:space="preserve">раздельные препараты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эмтрицитабина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и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тенофовира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дизопроксила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фумарата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>. Обратитесь к инструкциям по применению этих лекарственных препаратов.</w:t>
      </w:r>
    </w:p>
    <w:p w14:paraId="058426BC" w14:textId="77777777" w:rsidR="00745D22" w:rsidRPr="00704FB4" w:rsidRDefault="00745D22" w:rsidP="00D073DF">
      <w:pPr>
        <w:pStyle w:val="a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Если доза препарата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Эмтрицитабин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и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тенофовир</w:t>
      </w:r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дизопроксила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фумарат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пропущена и со времени обычного приема прошло менее 12 часов, следует как можно скорее принять препарат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Эмтрицитабин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и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тенофовир</w:t>
      </w:r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дизопроксила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фумарат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с пищей и возобновить прием по обычному расписанию. Если доза препарата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Эмтрицитабин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и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тенофовир</w:t>
      </w:r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дизопроксила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фумарат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пропущена, с момента должного приема прошло более 12 часов и приблизилось время приема следующей дозы, следует не принимать пропущенную дозу и просто возобновить прием по обычному расписанию.</w:t>
      </w:r>
    </w:p>
    <w:p w14:paraId="39CEA1C9" w14:textId="77777777" w:rsidR="00745D22" w:rsidRPr="00704FB4" w:rsidRDefault="00745D22" w:rsidP="00D073DF">
      <w:pPr>
        <w:pStyle w:val="a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Если в течение 1 часа после приема препарата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Эмтрицитабин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и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тенофовир</w:t>
      </w:r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дизопроксила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фумарат</w:t>
      </w:r>
      <w:proofErr w:type="spellEnd"/>
      <w:r w:rsidRPr="00704FB4">
        <w:rPr>
          <w:rFonts w:ascii="Times New Roman" w:hAnsi="Times New Roman"/>
          <w:sz w:val="24"/>
          <w:szCs w:val="24"/>
          <w:vertAlign w:val="superscript"/>
          <w:lang w:val="ru-RU" w:bidi="ar-IQ"/>
        </w:rPr>
        <w:t xml:space="preserve"> </w:t>
      </w:r>
      <w:r w:rsidRPr="00704FB4">
        <w:rPr>
          <w:rFonts w:ascii="Times New Roman" w:hAnsi="Times New Roman"/>
          <w:sz w:val="24"/>
          <w:szCs w:val="24"/>
          <w:lang w:val="ru-RU" w:bidi="ar-IQ"/>
        </w:rPr>
        <w:t>возникла рвота, следует принять другую таблетку</w:t>
      </w:r>
      <w:r w:rsidR="00145AA9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r w:rsidR="00120AF6" w:rsidRPr="00704FB4">
        <w:rPr>
          <w:rFonts w:ascii="Times New Roman" w:hAnsi="Times New Roman"/>
          <w:sz w:val="24"/>
          <w:szCs w:val="24"/>
          <w:lang w:val="ru-RU" w:bidi="ar-IQ"/>
        </w:rPr>
        <w:t>данного препарата</w:t>
      </w: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. Если рвота возникла более чем через 1 час после приема препарата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Эмтрицитабин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и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тенофовир</w:t>
      </w:r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дизопроксила</w:t>
      </w:r>
      <w:proofErr w:type="spellEnd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 xml:space="preserve"> </w:t>
      </w:r>
      <w:proofErr w:type="spellStart"/>
      <w:r w:rsidR="001F5844" w:rsidRPr="00704FB4">
        <w:rPr>
          <w:rFonts w:ascii="Times New Roman" w:hAnsi="Times New Roman"/>
          <w:sz w:val="24"/>
          <w:szCs w:val="24"/>
          <w:lang w:val="ru-RU" w:bidi="ar-IQ"/>
        </w:rPr>
        <w:t>фумарат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>, вторую дозу принимать не следует.</w:t>
      </w:r>
    </w:p>
    <w:p w14:paraId="47216B4B" w14:textId="77777777" w:rsidR="009C166C" w:rsidRPr="00704FB4" w:rsidRDefault="009C166C" w:rsidP="00D073D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04FB4">
        <w:rPr>
          <w:rFonts w:ascii="Times New Roman" w:hAnsi="Times New Roman" w:cs="Times New Roman"/>
          <w:b/>
          <w:iCs/>
          <w:sz w:val="24"/>
          <w:szCs w:val="24"/>
        </w:rPr>
        <w:t>Особые группы пациентов</w:t>
      </w:r>
    </w:p>
    <w:p w14:paraId="681DFCD4" w14:textId="77777777" w:rsidR="007118A7" w:rsidRPr="00704FB4" w:rsidRDefault="007118A7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hAnsi="Times New Roman" w:cs="Times New Roman"/>
          <w:i/>
          <w:iCs/>
          <w:sz w:val="24"/>
          <w:szCs w:val="24"/>
        </w:rPr>
        <w:t>Пожилой возраст (старше 65 лет).</w:t>
      </w:r>
      <w:r w:rsidRPr="00704FB4">
        <w:rPr>
          <w:rFonts w:ascii="Times New Roman" w:hAnsi="Times New Roman" w:cs="Times New Roman"/>
          <w:sz w:val="24"/>
          <w:szCs w:val="24"/>
        </w:rPr>
        <w:t xml:space="preserve"> Коррекция дозы не требуется (см. раздел 5.2)</w:t>
      </w:r>
      <w:r w:rsidR="00443554" w:rsidRPr="00704FB4">
        <w:rPr>
          <w:rFonts w:ascii="Times New Roman" w:hAnsi="Times New Roman" w:cs="Times New Roman"/>
          <w:sz w:val="24"/>
          <w:szCs w:val="24"/>
        </w:rPr>
        <w:t>.</w:t>
      </w:r>
    </w:p>
    <w:p w14:paraId="61793006" w14:textId="77777777" w:rsidR="00745D22" w:rsidRPr="00704FB4" w:rsidRDefault="00745D22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Почечная недостаточность.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выводятся из организма через почки, поэтому 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экспозиция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увеличивается у пациентов с почечной дисфункцией (см. разделы </w:t>
      </w:r>
      <w:r w:rsidR="00120AF6" w:rsidRPr="00704FB4">
        <w:rPr>
          <w:rFonts w:ascii="Times New Roman" w:eastAsia="Calibri" w:hAnsi="Times New Roman" w:cs="Times New Roman"/>
          <w:sz w:val="24"/>
          <w:szCs w:val="24"/>
        </w:rPr>
        <w:t>4.4 и 5.2</w:t>
      </w:r>
      <w:r w:rsidRPr="00704FB4">
        <w:rPr>
          <w:rFonts w:ascii="Times New Roman" w:eastAsia="Calibri" w:hAnsi="Times New Roman" w:cs="Times New Roman"/>
          <w:sz w:val="24"/>
          <w:szCs w:val="24"/>
        </w:rPr>
        <w:t>)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</w:t>
      </w:r>
    </w:p>
    <w:p w14:paraId="01343C50" w14:textId="77777777" w:rsidR="00745D22" w:rsidRPr="00704FB4" w:rsidRDefault="00745D22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Взрослые пациенты с нарушением функции почек. </w:t>
      </w:r>
    </w:p>
    <w:p w14:paraId="4BFA6C47" w14:textId="77777777" w:rsidR="00745D22" w:rsidRPr="00704FB4" w:rsidRDefault="00745D22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Пациентам с клиренсом креатинина (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CrCl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ниже 80 мл/мин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следует назначать только в случаях, ко</w:t>
      </w:r>
      <w:r w:rsidR="00524277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гда возможная польза превышает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возможные риски. См. таблицу 1.</w:t>
      </w:r>
    </w:p>
    <w:p w14:paraId="6118C7DE" w14:textId="77777777" w:rsidR="00611011" w:rsidRPr="00704FB4" w:rsidRDefault="00611011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Таблица 1. </w:t>
      </w:r>
    </w:p>
    <w:p w14:paraId="57234A82" w14:textId="03B06A6C" w:rsidR="00611011" w:rsidRPr="00704FB4" w:rsidRDefault="00611011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Рекомендации по дозированию для взрослых пациентов с нарушением функции почек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3508"/>
        <w:gridCol w:w="3509"/>
      </w:tblGrid>
      <w:tr w:rsidR="00611011" w:rsidRPr="00704FB4" w14:paraId="65C522EA" w14:textId="77777777" w:rsidTr="00070721">
        <w:tc>
          <w:tcPr>
            <w:tcW w:w="1222" w:type="pct"/>
            <w:shd w:val="clear" w:color="auto" w:fill="auto"/>
          </w:tcPr>
          <w:p w14:paraId="7FEE3B8F" w14:textId="77777777" w:rsidR="00611011" w:rsidRPr="00704FB4" w:rsidRDefault="00611011" w:rsidP="00D07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Нарушение функции почек</w:t>
            </w:r>
          </w:p>
        </w:tc>
        <w:tc>
          <w:tcPr>
            <w:tcW w:w="1889" w:type="pct"/>
          </w:tcPr>
          <w:p w14:paraId="716FD116" w14:textId="77777777" w:rsidR="00611011" w:rsidRPr="00704FB4" w:rsidRDefault="00611011" w:rsidP="00D07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Лечение инфекции ВИЧ-1</w:t>
            </w:r>
          </w:p>
        </w:tc>
        <w:tc>
          <w:tcPr>
            <w:tcW w:w="1889" w:type="pct"/>
            <w:shd w:val="clear" w:color="auto" w:fill="auto"/>
          </w:tcPr>
          <w:p w14:paraId="69B527CF" w14:textId="77777777" w:rsidR="00611011" w:rsidRPr="00704FB4" w:rsidRDefault="00611011" w:rsidP="00D07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Доконтактная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профилактика</w:t>
            </w:r>
          </w:p>
        </w:tc>
      </w:tr>
      <w:tr w:rsidR="00611011" w:rsidRPr="00704FB4" w14:paraId="09905D34" w14:textId="77777777" w:rsidTr="00070721">
        <w:trPr>
          <w:trHeight w:val="2280"/>
        </w:trPr>
        <w:tc>
          <w:tcPr>
            <w:tcW w:w="1222" w:type="pct"/>
            <w:shd w:val="clear" w:color="auto" w:fill="auto"/>
          </w:tcPr>
          <w:p w14:paraId="56D9485E" w14:textId="77777777" w:rsidR="00611011" w:rsidRPr="00704FB4" w:rsidRDefault="00611011" w:rsidP="00D07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Легкое нарушение функции почек </w:t>
            </w:r>
          </w:p>
          <w:p w14:paraId="68BA246C" w14:textId="77777777" w:rsidR="00611011" w:rsidRPr="00704FB4" w:rsidRDefault="00611011" w:rsidP="00D07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(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CrCl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 50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noBreakHyphen/>
              <w:t>80 мл/мин)</w:t>
            </w:r>
          </w:p>
        </w:tc>
        <w:tc>
          <w:tcPr>
            <w:tcW w:w="1889" w:type="pct"/>
          </w:tcPr>
          <w:p w14:paraId="4814411D" w14:textId="77777777" w:rsidR="00611011" w:rsidRPr="00704FB4" w:rsidRDefault="00611011" w:rsidP="00D07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Ограниченные данные клинических исследований свидетельствуют в пользу приема препарата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Эмтрицита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-бин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один раз в сутки (см. раздел 4.4).</w:t>
            </w:r>
          </w:p>
        </w:tc>
        <w:tc>
          <w:tcPr>
            <w:tcW w:w="1889" w:type="pct"/>
            <w:shd w:val="clear" w:color="auto" w:fill="auto"/>
          </w:tcPr>
          <w:p w14:paraId="4C12D55E" w14:textId="77777777" w:rsidR="00611011" w:rsidRPr="00704FB4" w:rsidRDefault="00611011" w:rsidP="00D07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Ограниченные данные, полученные в результате клинических исследований, свидетельствуют в пользу сохранения режима дозирования препарата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1 раз в сутки неинфицированными пациентами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Cl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креатинина 60–80 мл/мин. Прием препарат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не рекомендован пациентам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>Cl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bidi="ar-IQ"/>
              </w:rPr>
              <w:t xml:space="preserve"> креатинина менее 60 мл/мин, неинфицированным ВИЧ-1, в связи с отсутствием данных у данной популяции (см. разделы 4.4, 5.2)</w:t>
            </w:r>
          </w:p>
        </w:tc>
      </w:tr>
    </w:tbl>
    <w:p w14:paraId="02545682" w14:textId="77777777" w:rsidR="00611011" w:rsidRPr="00704FB4" w:rsidRDefault="00611011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</w:p>
    <w:p w14:paraId="788758B1" w14:textId="77777777" w:rsidR="00745D22" w:rsidRPr="00704FB4" w:rsidRDefault="00745D22" w:rsidP="00D073DF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3508"/>
        <w:gridCol w:w="3509"/>
      </w:tblGrid>
      <w:tr w:rsidR="00E11AAC" w:rsidRPr="00704FB4" w14:paraId="28D3B66F" w14:textId="77777777" w:rsidTr="007E7E96">
        <w:trPr>
          <w:trHeight w:val="4119"/>
        </w:trPr>
        <w:tc>
          <w:tcPr>
            <w:tcW w:w="1222" w:type="pct"/>
            <w:shd w:val="clear" w:color="auto" w:fill="auto"/>
          </w:tcPr>
          <w:p w14:paraId="7B628997" w14:textId="77777777" w:rsidR="00E11AAC" w:rsidRPr="00704FB4" w:rsidRDefault="00E11AAC" w:rsidP="00D07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Умеренное нарушение функции почек (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CrCl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 30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49 мл/мин)</w:t>
            </w:r>
          </w:p>
        </w:tc>
        <w:tc>
          <w:tcPr>
            <w:tcW w:w="1889" w:type="pct"/>
          </w:tcPr>
          <w:p w14:paraId="0E457067" w14:textId="77777777" w:rsidR="00E11AAC" w:rsidRPr="00704FB4" w:rsidRDefault="00E11AAC" w:rsidP="00D07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моделирования данных фармакокинетики после однократного приема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эмтрицитабина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у не ВИЧ-инфицированных пациентов с разными степенями нарушения функции почек рекомендуется прием препарата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каждые 48 часов (см. раздел 4.4).</w:t>
            </w:r>
          </w:p>
        </w:tc>
        <w:tc>
          <w:tcPr>
            <w:tcW w:w="1889" w:type="pct"/>
            <w:shd w:val="clear" w:color="auto" w:fill="auto"/>
          </w:tcPr>
          <w:p w14:paraId="18F5CD5A" w14:textId="77777777" w:rsidR="00E11AAC" w:rsidRPr="00704FB4" w:rsidRDefault="00E11AAC" w:rsidP="00D07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Не рекомендуется к использованию у этой группы пациентов.</w:t>
            </w:r>
          </w:p>
        </w:tc>
      </w:tr>
      <w:tr w:rsidR="00E11AAC" w:rsidRPr="00704FB4" w14:paraId="502B050D" w14:textId="77777777" w:rsidTr="007E7E96">
        <w:tc>
          <w:tcPr>
            <w:tcW w:w="1222" w:type="pct"/>
            <w:shd w:val="clear" w:color="auto" w:fill="auto"/>
          </w:tcPr>
          <w:p w14:paraId="5D0A97C4" w14:textId="77777777" w:rsidR="00E11AAC" w:rsidRPr="00704FB4" w:rsidRDefault="00E11AAC" w:rsidP="00D07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Тяжелое нарушение функции почек  </w:t>
            </w:r>
          </w:p>
          <w:p w14:paraId="7A6D1311" w14:textId="77777777" w:rsidR="00E11AAC" w:rsidRPr="00704FB4" w:rsidRDefault="00E11AAC" w:rsidP="00D07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CrCl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 &lt; 30 мл/мин) и пациенты на гемодиализе</w:t>
            </w:r>
          </w:p>
        </w:tc>
        <w:tc>
          <w:tcPr>
            <w:tcW w:w="1889" w:type="pct"/>
          </w:tcPr>
          <w:p w14:paraId="45815D59" w14:textId="77777777" w:rsidR="00E11AAC" w:rsidRPr="00704FB4" w:rsidRDefault="00E11AAC" w:rsidP="00D07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Препарат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не рекомендуется из-за невозможности достижения правильного снижения дозы при использовании комбинированных таблеток.</w:t>
            </w:r>
          </w:p>
        </w:tc>
        <w:tc>
          <w:tcPr>
            <w:tcW w:w="1889" w:type="pct"/>
            <w:shd w:val="clear" w:color="auto" w:fill="auto"/>
          </w:tcPr>
          <w:p w14:paraId="0EE70803" w14:textId="77777777" w:rsidR="00E11AAC" w:rsidRPr="00704FB4" w:rsidRDefault="00E11AAC" w:rsidP="00D07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Не рекомендуется к использованию у этой группы пациентов.</w:t>
            </w:r>
          </w:p>
        </w:tc>
      </w:tr>
    </w:tbl>
    <w:p w14:paraId="1D6D92C6" w14:textId="405BC962" w:rsidR="00745D22" w:rsidRPr="00704FB4" w:rsidRDefault="009C166C" w:rsidP="00D073DF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704FB4">
        <w:rPr>
          <w:rFonts w:ascii="Times New Roman" w:hAnsi="Times New Roman"/>
          <w:i/>
          <w:iCs/>
          <w:sz w:val="24"/>
          <w:szCs w:val="24"/>
          <w:lang w:val="ru-RU"/>
        </w:rPr>
        <w:t>Печеночная недостаточность.</w:t>
      </w:r>
      <w:r w:rsidRPr="00704F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5D22" w:rsidRPr="00704FB4">
        <w:rPr>
          <w:rFonts w:ascii="Times New Roman" w:hAnsi="Times New Roman"/>
          <w:sz w:val="24"/>
          <w:szCs w:val="24"/>
          <w:lang w:val="ru-RU" w:bidi="ar-IQ"/>
        </w:rPr>
        <w:t xml:space="preserve">Пациентам с нарушением функции печени коррекция дозы не требуется (см. разделы </w:t>
      </w:r>
      <w:r w:rsidR="00E82808" w:rsidRPr="00704FB4">
        <w:rPr>
          <w:rFonts w:ascii="Times New Roman" w:hAnsi="Times New Roman"/>
          <w:sz w:val="24"/>
          <w:szCs w:val="24"/>
          <w:lang w:val="ru-RU"/>
        </w:rPr>
        <w:t>4.4</w:t>
      </w:r>
      <w:r w:rsidR="00745D22" w:rsidRPr="00704FB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E82808" w:rsidRPr="00704FB4">
        <w:rPr>
          <w:rFonts w:ascii="Times New Roman" w:hAnsi="Times New Roman"/>
          <w:sz w:val="24"/>
          <w:szCs w:val="24"/>
          <w:lang w:val="ru-RU"/>
        </w:rPr>
        <w:t>5.2</w:t>
      </w:r>
      <w:r w:rsidR="00745D22" w:rsidRPr="00704FB4">
        <w:rPr>
          <w:rFonts w:ascii="Times New Roman" w:hAnsi="Times New Roman"/>
          <w:sz w:val="24"/>
          <w:szCs w:val="24"/>
          <w:lang w:val="ru-RU"/>
        </w:rPr>
        <w:t>).</w:t>
      </w:r>
    </w:p>
    <w:p w14:paraId="0FA4819C" w14:textId="77777777" w:rsidR="0031198A" w:rsidRPr="00704FB4" w:rsidRDefault="0031198A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Способ применения</w:t>
      </w:r>
    </w:p>
    <w:p w14:paraId="350D02AF" w14:textId="77777777" w:rsidR="00145AA9" w:rsidRPr="00704FB4" w:rsidRDefault="00145AA9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 xml:space="preserve">Для приема внутрь. Препарат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желательно принимать с едой. </w:t>
      </w:r>
    </w:p>
    <w:p w14:paraId="4F2CB237" w14:textId="77777777" w:rsidR="00145AA9" w:rsidRPr="00704FB4" w:rsidRDefault="00145AA9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 xml:space="preserve">Таблетку препарата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можно принять сразу после растворения ее в приблизительно 100 мл воды, апельсинового или виноградного сока.</w:t>
      </w:r>
    </w:p>
    <w:p w14:paraId="00BDBC21" w14:textId="77777777" w:rsidR="0031198A" w:rsidRPr="00704FB4" w:rsidRDefault="0031198A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6F0CB" w14:textId="77777777" w:rsidR="009C166C" w:rsidRPr="00704FB4" w:rsidRDefault="009C166C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4.3.</w:t>
      </w:r>
      <w:r w:rsidR="0031198A" w:rsidRPr="00704FB4">
        <w:rPr>
          <w:rFonts w:ascii="Times New Roman" w:hAnsi="Times New Roman" w:cs="Times New Roman"/>
          <w:b/>
          <w:sz w:val="24"/>
          <w:szCs w:val="24"/>
        </w:rPr>
        <w:t xml:space="preserve"> Противопоказания</w:t>
      </w:r>
    </w:p>
    <w:p w14:paraId="7BB05510" w14:textId="77777777" w:rsidR="0022123A" w:rsidRPr="00704FB4" w:rsidRDefault="0022123A" w:rsidP="00230FA5">
      <w:pPr>
        <w:pStyle w:val="a4"/>
        <w:numPr>
          <w:ilvl w:val="0"/>
          <w:numId w:val="2"/>
        </w:numPr>
        <w:ind w:left="0" w:hanging="28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повышенная чувствительность к </w:t>
      </w:r>
      <w:r w:rsidR="005D65F6" w:rsidRPr="00704FB4">
        <w:rPr>
          <w:rFonts w:ascii="Times New Roman" w:hAnsi="Times New Roman"/>
          <w:sz w:val="24"/>
          <w:szCs w:val="24"/>
          <w:lang w:val="ru-RU" w:bidi="ar-IQ"/>
        </w:rPr>
        <w:t>активным</w:t>
      </w: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веществам</w:t>
      </w:r>
      <w:r w:rsidR="0058004A" w:rsidRPr="00704FB4">
        <w:rPr>
          <w:rFonts w:ascii="Times New Roman" w:hAnsi="Times New Roman"/>
          <w:sz w:val="24"/>
          <w:szCs w:val="24"/>
          <w:lang w:val="ru-RU" w:bidi="ar-IQ"/>
        </w:rPr>
        <w:t xml:space="preserve"> препарата</w:t>
      </w: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или к любому из вспомогательных веществ, перечисленных в разделе </w:t>
      </w:r>
      <w:r w:rsidR="007709A5" w:rsidRPr="00704FB4">
        <w:rPr>
          <w:rFonts w:ascii="Times New Roman" w:hAnsi="Times New Roman"/>
          <w:sz w:val="24"/>
          <w:szCs w:val="24"/>
          <w:lang w:val="ru-RU" w:bidi="ar-IQ"/>
        </w:rPr>
        <w:t>6.1</w:t>
      </w:r>
    </w:p>
    <w:p w14:paraId="36BC50CB" w14:textId="77777777" w:rsidR="0022123A" w:rsidRPr="00704FB4" w:rsidRDefault="00B52C58" w:rsidP="00230FA5">
      <w:pPr>
        <w:pStyle w:val="a4"/>
        <w:numPr>
          <w:ilvl w:val="0"/>
          <w:numId w:val="2"/>
        </w:numPr>
        <w:ind w:left="0" w:hanging="28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применение для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доконтактной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профилактики у лиц с неизвестным и</w:t>
      </w:r>
      <w:r w:rsidR="004C2438" w:rsidRPr="00704FB4">
        <w:rPr>
          <w:rFonts w:ascii="Times New Roman" w:hAnsi="Times New Roman"/>
          <w:sz w:val="24"/>
          <w:szCs w:val="24"/>
          <w:lang w:val="ru-RU" w:bidi="ar-IQ"/>
        </w:rPr>
        <w:t>ли положительным ВИЧ-1-статусом</w:t>
      </w:r>
    </w:p>
    <w:p w14:paraId="71745548" w14:textId="77777777" w:rsidR="00760C4A" w:rsidRPr="00704FB4" w:rsidRDefault="00760C4A" w:rsidP="00230FA5">
      <w:pPr>
        <w:pStyle w:val="a4"/>
        <w:numPr>
          <w:ilvl w:val="0"/>
          <w:numId w:val="2"/>
        </w:numPr>
        <w:ind w:left="0" w:hanging="28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наследственная непереносимость фруктозы, дефицит фермента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Lapp-лактазы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, </w:t>
      </w:r>
      <w:proofErr w:type="spellStart"/>
      <w:r w:rsidRPr="00704FB4">
        <w:rPr>
          <w:rFonts w:ascii="Times New Roman" w:hAnsi="Times New Roman"/>
          <w:sz w:val="24"/>
          <w:szCs w:val="24"/>
          <w:lang w:val="ru-RU" w:bidi="ar-IQ"/>
        </w:rPr>
        <w:t>мальабсорбция</w:t>
      </w:r>
      <w:proofErr w:type="spellEnd"/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глюкозы-галактозы</w:t>
      </w:r>
    </w:p>
    <w:p w14:paraId="16F8ADAF" w14:textId="6BD07509" w:rsidR="00760C4A" w:rsidRPr="00704FB4" w:rsidRDefault="00760C4A" w:rsidP="00230FA5">
      <w:pPr>
        <w:pStyle w:val="a4"/>
        <w:numPr>
          <w:ilvl w:val="0"/>
          <w:numId w:val="2"/>
        </w:numPr>
        <w:ind w:left="0" w:hanging="284"/>
        <w:jc w:val="both"/>
        <w:rPr>
          <w:rFonts w:ascii="Times New Roman" w:hAnsi="Times New Roman"/>
          <w:sz w:val="24"/>
          <w:szCs w:val="24"/>
          <w:lang w:val="ru-RU" w:bidi="ar-IQ"/>
        </w:rPr>
      </w:pPr>
      <w:r w:rsidRPr="00704FB4">
        <w:rPr>
          <w:rFonts w:ascii="Times New Roman" w:hAnsi="Times New Roman"/>
          <w:sz w:val="24"/>
          <w:szCs w:val="24"/>
          <w:lang w:val="ru-RU" w:bidi="ar-IQ"/>
        </w:rPr>
        <w:t>детский и</w:t>
      </w:r>
      <w:r w:rsidR="0058004A" w:rsidRPr="00704FB4">
        <w:rPr>
          <w:rFonts w:ascii="Times New Roman" w:hAnsi="Times New Roman"/>
          <w:sz w:val="24"/>
          <w:szCs w:val="24"/>
          <w:lang w:val="ru-RU" w:bidi="ar-IQ"/>
        </w:rPr>
        <w:t xml:space="preserve"> подростковый возраст до 18</w:t>
      </w:r>
      <w:r w:rsidRPr="00704FB4">
        <w:rPr>
          <w:rFonts w:ascii="Times New Roman" w:hAnsi="Times New Roman"/>
          <w:sz w:val="24"/>
          <w:szCs w:val="24"/>
          <w:lang w:val="ru-RU" w:bidi="ar-IQ"/>
        </w:rPr>
        <w:t xml:space="preserve"> лет</w:t>
      </w:r>
      <w:r w:rsidR="0058004A" w:rsidRPr="00704FB4">
        <w:rPr>
          <w:rFonts w:ascii="Times New Roman" w:hAnsi="Times New Roman"/>
          <w:sz w:val="24"/>
          <w:szCs w:val="24"/>
          <w:lang w:val="ru-RU" w:bidi="ar-IQ"/>
        </w:rPr>
        <w:t xml:space="preserve"> (из-за наличия красителя индигокармин в составе</w:t>
      </w:r>
      <w:r w:rsidR="005C415B">
        <w:rPr>
          <w:rFonts w:ascii="Times New Roman" w:hAnsi="Times New Roman"/>
          <w:sz w:val="24"/>
          <w:szCs w:val="24"/>
          <w:lang w:val="ru-RU" w:bidi="ar-IQ"/>
        </w:rPr>
        <w:t xml:space="preserve"> оболочки</w:t>
      </w:r>
      <w:r w:rsidR="0058004A" w:rsidRPr="00704FB4">
        <w:rPr>
          <w:rFonts w:ascii="Times New Roman" w:hAnsi="Times New Roman"/>
          <w:sz w:val="24"/>
          <w:szCs w:val="24"/>
          <w:lang w:val="ru-RU" w:bidi="ar-IQ"/>
        </w:rPr>
        <w:t xml:space="preserve"> препарата)</w:t>
      </w:r>
    </w:p>
    <w:p w14:paraId="5D2BD63C" w14:textId="77777777" w:rsidR="0031198A" w:rsidRPr="00704FB4" w:rsidRDefault="0031198A" w:rsidP="00D073DF">
      <w:pPr>
        <w:pStyle w:val="Text1"/>
        <w:spacing w:before="0"/>
        <w:ind w:hanging="284"/>
        <w:jc w:val="both"/>
        <w:rPr>
          <w:rFonts w:ascii="Times New Roman" w:hAnsi="Times New Roman"/>
          <w:szCs w:val="24"/>
          <w:lang w:val="ru-RU"/>
        </w:rPr>
      </w:pPr>
    </w:p>
    <w:p w14:paraId="75C69675" w14:textId="77777777" w:rsidR="009F7D92" w:rsidRPr="00704FB4" w:rsidRDefault="0031198A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="009F7D92" w:rsidRPr="00704FB4">
        <w:rPr>
          <w:rFonts w:ascii="Times New Roman" w:hAnsi="Times New Roman" w:cs="Times New Roman"/>
          <w:b/>
          <w:sz w:val="24"/>
          <w:szCs w:val="24"/>
        </w:rPr>
        <w:t>Особые указания и меры предосторожности пр</w:t>
      </w:r>
      <w:r w:rsidRPr="00704FB4">
        <w:rPr>
          <w:rFonts w:ascii="Times New Roman" w:hAnsi="Times New Roman" w:cs="Times New Roman"/>
          <w:b/>
          <w:sz w:val="24"/>
          <w:szCs w:val="24"/>
        </w:rPr>
        <w:t>и применении</w:t>
      </w:r>
    </w:p>
    <w:p w14:paraId="5E86FE76" w14:textId="77777777" w:rsidR="0004129E" w:rsidRPr="00704FB4" w:rsidRDefault="0004129E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Передача ВИЧ</w:t>
      </w:r>
    </w:p>
    <w:p w14:paraId="7BDCEDB9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Несмотря на установленный факт, что эффективное подавление вируса антиретровирусной терапией значительно снижает риск передачи вируса половым путем, остаточный риск исключить невозможно. Следует принимать меры профилактики передачи вируса в соответствии с национальными рекомендациями.</w:t>
      </w:r>
    </w:p>
    <w:p w14:paraId="6598D1E2" w14:textId="77777777" w:rsidR="00056AE2" w:rsidRPr="00704FB4" w:rsidRDefault="00056AE2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Пациенты с мутациями резистентности ВИЧ-1 </w:t>
      </w:r>
    </w:p>
    <w:p w14:paraId="32B8B8B9" w14:textId="0CC973A0" w:rsidR="0022123A" w:rsidRPr="00704FB4" w:rsidRDefault="00056AE2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Препарат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t xml:space="preserve">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не должен назначаться пациентам с ВИЧ-1-инфекцией, имеющим мутацию в кодоне K65R</w:t>
      </w:r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(см. раздел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5.1</w:t>
      </w:r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).</w:t>
      </w:r>
    </w:p>
    <w:p w14:paraId="73936114" w14:textId="77777777" w:rsidR="00056AE2" w:rsidRPr="00704FB4" w:rsidRDefault="00056AE2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Общая стратегия профилактики ВИЧ-инфекции</w:t>
      </w:r>
    </w:p>
    <w:p w14:paraId="78002E3A" w14:textId="77777777" w:rsidR="00056AE2" w:rsidRPr="00704FB4" w:rsidRDefault="00056AE2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lastRenderedPageBreak/>
        <w:t xml:space="preserve">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 всегда эффективен для профилактики заражения ВИЧ-1. Длительность периода до начала защитного действия после приема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неизвестна.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следует использовать для ДКП как часть общей стратегии профилактики ВИЧ-1-инфекции, включающей применение других мер профилактики (например, постоянное и правильное использование презервативов, осведомленность о ВИЧ-статусе, регулярное тестирование на другие инфекции, передаваемые половым путем).</w:t>
      </w:r>
    </w:p>
    <w:p w14:paraId="39FA71EA" w14:textId="77777777" w:rsidR="00056AE2" w:rsidRPr="00704FB4" w:rsidRDefault="00056AE2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Риск развития резистентности при наличии скрытой ВИЧ-1-инфекции.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</w:p>
    <w:p w14:paraId="57F0E7D0" w14:textId="77777777" w:rsidR="00056AE2" w:rsidRPr="00704FB4" w:rsidRDefault="00056AE2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следует применять лишь для снижения риска заражения ВИЧ-1 у лиц с подтвержденным отрицательным диагнозом на ВИЧ (см. раздел 4.3). При приеме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 целью ДКП необходимо регулярное (минимум каждые 3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мес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) подтверждение ВИЧ-1-отрицательного статуса с помощью комбинированного теста «антиген/антитело».</w:t>
      </w:r>
    </w:p>
    <w:p w14:paraId="4FF9ED2E" w14:textId="77777777" w:rsidR="00056AE2" w:rsidRPr="00704FB4" w:rsidRDefault="00056AE2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Монотерапия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препаратом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 является полноценным лечением ВИЧ-1, и мутации резистентности вируса возникали у пациентов со скрытой ВИЧ-1-инфекцией, принимавших только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При наличии клинических симптомов острой вирусной инфекции и подозрений на недавние (&lt;1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мес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) экспозиции ВИЧ-1 применение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необходимо отложить минимум на 1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мес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подтвердить ВИЧ-1-статус перед началом приема препарата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с целью ДКП.</w:t>
      </w:r>
    </w:p>
    <w:p w14:paraId="420CD6A7" w14:textId="77777777" w:rsidR="00F32659" w:rsidRPr="00704FB4" w:rsidRDefault="00056AE2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Важность соблюдения предписанного режима терапии.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</w:p>
    <w:p w14:paraId="01938F73" w14:textId="77777777" w:rsidR="00056AE2" w:rsidRPr="00704FB4" w:rsidRDefault="00056AE2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Измерение уровня содержания препарата в крови показало, что эффективность препарата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снижении риска заражения ВИЧ-1 строго коррелирует с соблюдением указанной схемы (см. </w:t>
      </w:r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раздел 5.1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). ВИЧ-неинфицированным людям следует строго придерживаться рекомендованной схемы приема препарата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="00F32659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.</w:t>
      </w:r>
    </w:p>
    <w:p w14:paraId="14F2ECE5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Пациенты, инфицированные вирусом гепатита В или С</w:t>
      </w:r>
    </w:p>
    <w:p w14:paraId="4676D6EC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ВИЧ-1 инфицированные пациенты с хроническим гепатитом В или С, получающие антиретровирусную терапию, имеют повышенный риск тяжелых и потенциально смертельных нежелательных реакций со стороны печени. Врачам следует обратиться к текущим рекомендациям по лечению ВИЧ касательно оптимального лечения ВИЧ-инфекции у пациентов с сопутствующей инфекцией вирусом гепатита B (ВГВ) или С (ВГС). </w:t>
      </w:r>
    </w:p>
    <w:p w14:paraId="581FF6E2" w14:textId="77777777" w:rsidR="00F32659" w:rsidRPr="00704FB4" w:rsidRDefault="00F32659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Безопасность и эффективность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при ДКП у пациентов с инфекцией ВГВ или ВГС не установлена.</w:t>
      </w:r>
    </w:p>
    <w:p w14:paraId="5D4F27D9" w14:textId="77777777" w:rsidR="00F32659" w:rsidRPr="00704FB4" w:rsidRDefault="00F32659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При сопутствующей противовирусной терапии гепатита В или С следует обратиться к соответствующим инструкциям по медицинскому применению. См. также в подразделе </w:t>
      </w: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Совместное применение с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ледипасвиром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софосбувиром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или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софосбувиром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велпатасвиром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ниже.</w:t>
      </w:r>
    </w:p>
    <w:p w14:paraId="40B89150" w14:textId="77777777" w:rsidR="00F32659" w:rsidRPr="00704FB4" w:rsidRDefault="00F32659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) показан для лечения ВГВ, 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продемонстрировал противовирусную активность в отношении ВГВ в фармакодинамических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исследованниях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однако эффективность и безопасность препарата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конкретно у пациентов с хроническим гепатитом В не изучали.</w:t>
      </w:r>
    </w:p>
    <w:p w14:paraId="03AB8FF8" w14:textId="77777777" w:rsidR="00F32659" w:rsidRPr="00704FB4" w:rsidRDefault="00F32659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Отмена препарата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пациентов, инфицированных ВГВ может вызвать тяжелое обострение гепатита. За пациентами, инфицированными вирусом гепатита В, должно вестись тщательное наблюдение, как клиническое, так и лабораторное, по меньшей мере, в течение нескольких месяцев после прекращения терапии препаратом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lastRenderedPageBreak/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. В ряде случаев может потребоваться возобновление терапии гепатита В. У пациентов с тяжелыми заболеваниями печени или циррозом не рекомендуется отменять лечение, поскольку возникающее после отмены лечения обострение гепатита может привести к декомпенсации функции печени.</w:t>
      </w:r>
    </w:p>
    <w:p w14:paraId="67BED1C4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Заболевания печени</w:t>
      </w:r>
    </w:p>
    <w:p w14:paraId="1E8240A5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Безопасность и эффективность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 были установлены для пациентов со значительными нарушениями функции печени, которые существовали до начала лечения. Фармакокинетика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изучена у пациентов с нарушениями функции печени, и для этих пациентов нет необходимости в коррекции дозы. Фармакокинетика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больных с нарушением функции печени не изучена. Исходя из минимального печеночного метаболизма и почечного пути выведения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маловероятно, чтобы пациентам с нарушением функции печени была необходима коррекция дозы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(см. разделы </w:t>
      </w:r>
      <w:r w:rsidR="0069354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4.2, 5.2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).</w:t>
      </w:r>
    </w:p>
    <w:p w14:paraId="05F6B7C3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ВИЧ-1 инфицированные пациенты, у которых раньше были нарушения функции печени, включая хронический активный гепатит, имеют повышенную частоту нарушений функции печени во время комбинированной антиретровирусной терапии, и за ними следует наблюдать в соответствии со стандартной практикой. Если у таких пациентов возникнут признаки ухудшения течения болезни печени, то следует рассмотреть необходимость перерыва в лечении или его отмены.</w:t>
      </w:r>
    </w:p>
    <w:p w14:paraId="64F461B2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u w:val="single"/>
          <w:lang w:bidi="ar-IQ"/>
        </w:rPr>
        <w:t>Влияние на почки и кости у взрослых</w:t>
      </w:r>
    </w:p>
    <w:p w14:paraId="0E54C9CD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Влияние на почки</w:t>
      </w:r>
    </w:p>
    <w:p w14:paraId="65CE72AB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главным образом выводятся через почки путем сочетания клубочковой фильтрации и активной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канальцевой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секреции. Поступали сообщения о почечной недостаточности, нарушениях функции почек, повышенном уровне креатинина,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гипофосфатемии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проксимальной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тубулопатии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(включая синдром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Фанкони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) при применении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(см. раздел </w:t>
      </w:r>
      <w:r w:rsidR="00CC23F7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4.8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).</w:t>
      </w:r>
    </w:p>
    <w:p w14:paraId="3C1208FA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Наблюдение за функцией почек</w:t>
      </w:r>
    </w:p>
    <w:p w14:paraId="1AEF2628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До начала л</w:t>
      </w:r>
      <w:r w:rsidR="006F5E77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ечения ВИЧ-1 инфекции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препаратом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1F584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рекомендуется проведение расчета клиренса креатинина у всех пациентов.</w:t>
      </w:r>
    </w:p>
    <w:p w14:paraId="63977D02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У пациентов без факторов риска поражения почек рекомендуется исследовать функцию почек (клиренс креатинина и уровень фосфата в сыворотке) после 2–4 недель лечения, после 3 месяцев лечения, а затем каждые 3–6 месяцев. </w:t>
      </w:r>
    </w:p>
    <w:p w14:paraId="45A3A392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Пациентам с риском нарушения функции почек необходимо более частое наблюдение за функцией почек.</w:t>
      </w:r>
    </w:p>
    <w:p w14:paraId="31C6FCD2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См. также ниже раздел о сочетанном применении других лекарственных препаратов.</w:t>
      </w:r>
    </w:p>
    <w:p w14:paraId="39DDC387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>Коррекция почечных нарушений у ВИЧ-1 инфицированных пациентов</w:t>
      </w:r>
    </w:p>
    <w:p w14:paraId="0BA2F793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>Если у любого пациен</w:t>
      </w:r>
      <w:r w:rsidR="006F5E77" w:rsidRPr="00704FB4">
        <w:rPr>
          <w:rFonts w:ascii="Times New Roman" w:eastAsia="Calibri" w:hAnsi="Times New Roman" w:cs="Times New Roman"/>
          <w:sz w:val="24"/>
          <w:szCs w:val="24"/>
        </w:rPr>
        <w:t xml:space="preserve">та, получающего препарат </w:t>
      </w:r>
      <w:proofErr w:type="spellStart"/>
      <w:r w:rsidR="006F5E77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6F5E77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6F5E77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="006F5E77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6F5E77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6F5E77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6F5E77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, уровень фосфата в сыворотке крови ниже 1,5 мг/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дл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(0,48 ммоль/л) или клиренс креатинина ниже 50 мл/мин, необходимо в течение 1 недели провести повторную оценку функции почек, включая определение уровня глюкозы в крови, калия в крови и концентрации глюкозы в моче (см. раздел </w:t>
      </w:r>
      <w:r w:rsidR="00066B82" w:rsidRPr="00704FB4">
        <w:rPr>
          <w:rFonts w:ascii="Times New Roman" w:eastAsia="Calibri" w:hAnsi="Times New Roman" w:cs="Times New Roman"/>
          <w:sz w:val="24"/>
          <w:szCs w:val="24"/>
        </w:rPr>
        <w:t>4.8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, проксимальная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тубулопатия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). Следует рассмотреть целесообразность перерыва в лечении препаратом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6F5E77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6F5E77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5E77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6F5E77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5E77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при клиренсе креатинина ниже 50 мл/мин или уровне фосфата в сыворотке крови ниже 1,0 мг/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дл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(0,32 ммоль/л). Перерыв в лечении препаратом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6F5E77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6F5E77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5E77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6F5E77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5E77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также рекомендуется в случае прогрессирующего снижения функции почек, если не удается обнаружить другую причину этого состояния.</w:t>
      </w:r>
    </w:p>
    <w:p w14:paraId="06007A9A" w14:textId="77777777" w:rsidR="0022123A" w:rsidRPr="00704FB4" w:rsidRDefault="006F5E77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Безопасность </w:t>
      </w:r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препарата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отношении функции почек очень ограниченно исследована у ВИЧ-1 инфицированных пациентов с нарушением функции почек (клиренс креатинина ниже 80 мл/мин). Для </w:t>
      </w:r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lastRenderedPageBreak/>
        <w:t xml:space="preserve">ВИЧ-1 инфицированных пациентов с клиренсом креатинина 30–49 мл/мин рекомендуется коррекция интервала дозирования (см. раздел </w:t>
      </w:r>
      <w:r w:rsidR="00820252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4.2</w:t>
      </w:r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). Данные ограниченных клинических исследований указывают на то, что удлиненные интервалы дозирования не являются оптимальными, могут приводить к повышенной токсичности и, возможно, недостаточному ответу. Кроме того, в небольшом клиническом исследовании подгруппы пациентов с клиренсом креатинина 50–60 мл/мин, которые получали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комбинации с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эмтрицитабином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каждые 24 часа, отмечено повышение экспозиции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2–4 раза и ухудшение функции почек (см. раздел </w:t>
      </w:r>
      <w:r w:rsidR="0013025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5.2</w:t>
      </w:r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). Поэтому при применении препарата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пациентами с клиренсом креатинина ниже 60 мл/мин нужны тщательная оценка соотношения пользы/риска и тщательное наблюдение за функцией почек. Кроме этого, следует тщательно наблюдать за клиническим ответом на лечение у пациентов, которые получают препарат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 удлинёнными интервалами между приёмами. Применение препарата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 рекомендуется пациентам с тяжелыми почечными нарушениями (клиренс креатинина &lt; 30 мл/мин) и пациентам, нуждающимся в гемодиализе, поскольку комбинированная таблетка не позволяет достичь необходимого уменьшения дозы (см. разделы </w:t>
      </w:r>
      <w:r w:rsidR="0013025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4.2, 5.2</w:t>
      </w:r>
      <w:r w:rsidR="0022123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).</w:t>
      </w:r>
    </w:p>
    <w:p w14:paraId="5B6C2243" w14:textId="77777777" w:rsidR="0079263A" w:rsidRPr="00704FB4" w:rsidRDefault="007926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Оценка функции почек при ДКП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</w:t>
      </w:r>
    </w:p>
    <w:p w14:paraId="5E6B46A5" w14:textId="77777777" w:rsidR="0079263A" w:rsidRPr="00704FB4" w:rsidRDefault="007926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Исследования применения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ВИЧ-неинфицированных лиц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Cl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креатинина &lt;60 мл/мин не проводились, поэтому прием препарата в данной популяции не рекомендован. Если уровень фосфата в плазме составляет &lt;1,5 мг/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дл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(0,48 ммоль/л) или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Cl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креатинина у любого пациента, принимающего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качестве ДКП, снижен до &lt;60 мл/мин, следует в течение недели повторно оценить функцию почек, включая измерения уровня глюкозы и калия в крови и концентрации глюкозы в моче (см. раздел 4.8, проксимальная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тубулопатия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). Следует обсудить вопрос о прерывании приема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 со сниженным до &lt;60 мл/мин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Cl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креатинина или повышенном до &lt;1 мг/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дл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(0,32 ммоль/л) уровнем фосфата в сыворотке. Кроме того, следует рассмотреть прерывание приема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случае прогрессирующего ухудшения функции почек, если никаких других причин не обнаружено.</w:t>
      </w:r>
    </w:p>
    <w:p w14:paraId="54820DC5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Влияние на кости</w:t>
      </w:r>
    </w:p>
    <w:p w14:paraId="51835ADC" w14:textId="645F7D55" w:rsidR="00886424" w:rsidRPr="00704FB4" w:rsidRDefault="00886424" w:rsidP="00886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Костные нарушения, такие как остеомаляция, которая может проявляться в виде постоянной или усиливающейся боли в костях и которая в редких случаях может приводить к переломам, могут быть связаны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-индуцированной проксимальной почечной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тубулопатией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(см. раздел 4.8).</w:t>
      </w:r>
    </w:p>
    <w:p w14:paraId="66A52A4E" w14:textId="77FB20CD" w:rsidR="00886424" w:rsidRPr="00704FB4" w:rsidRDefault="00886424" w:rsidP="00886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также может вызывать снижение минеральной плотности костной ткани (МПКТ).</w:t>
      </w:r>
    </w:p>
    <w:p w14:paraId="73162BBA" w14:textId="20E09020" w:rsidR="00886424" w:rsidRPr="00704FB4" w:rsidRDefault="00886424" w:rsidP="00886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При подозрении или обнаружении костных нарушений следует обратиться за консультацией.</w:t>
      </w:r>
    </w:p>
    <w:p w14:paraId="5372C969" w14:textId="78265EF7" w:rsidR="00C306BF" w:rsidRPr="00704FB4" w:rsidRDefault="00990F0A" w:rsidP="0088642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Лечение ВИЧ-1-инфекции</w:t>
      </w:r>
      <w:r w:rsidR="00C306BF"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 </w:t>
      </w:r>
    </w:p>
    <w:p w14:paraId="75A5A4F2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В ходе 144-недельного контролируемого клинического исследования, в котором сравнивали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со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ставудином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комбинации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ламивудином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эфавирензом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пациентов, которые раньше не получали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антриретровирусного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лечения, в обеих группах наблюдалось незначительное снижение минеральной плотности костей (МПК) бедра и позвоночника. Снижение МПК позвоночника и изменения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биомаркеров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костной ткани по сравнению с исходными значениями были значительно более выраженными в группе, которая получала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при сроке 144 недели. МПК бедра снижалась в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lastRenderedPageBreak/>
        <w:t>значительно большей степени в этой группе при сроке до 96 недель. Однако на протяжении 144 недель не было повышения риска переломов или признаков клинически существенных костных нарушений.</w:t>
      </w:r>
    </w:p>
    <w:p w14:paraId="6EB5D604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>В других исследованиях (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проспективных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кросс-секционных) наиболее выраженное снижение МПК было обнаружено у пациентов, получавших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в составе схемы, содержащей усиленный ингибитор протеаз. Пациентам с остеопорозом, имеющим высокий риск переломов, следует подбирать другие методы лечения.</w:t>
      </w:r>
    </w:p>
    <w:p w14:paraId="50E04C44" w14:textId="77777777" w:rsidR="00990F0A" w:rsidRPr="00704FB4" w:rsidRDefault="00990F0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ДКП.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В клинических исследованиях ВИЧ-неинфицированных лиц наблюдали незначительные снижения МПК. В исследовании с участием 498 мужчин средние изменения МПК, по сравнению с исходным уровнем, через 24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нед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колебались от −0,4 до −1% для тазобедренного сустава, позвоночника, шейки бедра и вертела у мужчин, ежедневно получавших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в качестве профилактики (n=247) или плацебо (n=251).</w:t>
      </w:r>
    </w:p>
    <w:p w14:paraId="47DAAD6F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Масса тела и параметры метаболизма</w:t>
      </w:r>
    </w:p>
    <w:p w14:paraId="2B3C6846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При антиретровирусной терапии возможны увеличение массы тела и повышение уровней липидов и глюкозы крови. Такие изменения могут быть частично связанными со степенью контроля над заболеванием и образом жизни. Что касается липидов, то в некоторых случаях имеются признаки эффекта лечения, тогда как в отношении массы тела нет надежных доказательств связи этого параметра с каким-либо конкретным препаратом. Касательно наблюдения за уровнем липидов и глюкозы в крови существуют установленные рекомендации по лечению ВИЧ. Лечение нарушений жирового обмена следует проводить по клиническим показаниям. </w:t>
      </w:r>
    </w:p>
    <w:p w14:paraId="4778FCF4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Нарушение функций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митохондрий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 после внутриутробной экспозиции</w:t>
      </w:r>
    </w:p>
    <w:p w14:paraId="078CE6F9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</w:t>
      </w:r>
      <w:r w:rsidRPr="00704FB4">
        <w:rPr>
          <w:rFonts w:ascii="Times New Roman" w:eastAsia="Calibri" w:hAnsi="Times New Roman" w:cs="Times New Roman"/>
          <w:iCs/>
          <w:sz w:val="24"/>
          <w:szCs w:val="24"/>
        </w:rPr>
        <w:t>уклеозидные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и нуклеотидные аналоги могут в различной степени влиять на функцию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митохондрий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; особенно сильное влияние оказывают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ставудин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диданозин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зидовудин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. Имеются сообщения о нарушении функций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митохондрий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у ВИЧ-негативных детей первого года жизни, которые во внутриутробном и (или) послеродовом периоде подверглись влиянию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нуклеозидных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аналогов; в основном это касалось схем лечения с применением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зидовудина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. Основными неблагоприятными явлениями, о которых сообщалось, были нарушения системы крови (анемия,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нейтропения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) и метаболизма (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гиперлактатемия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гиперлипаземия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). Эти явления часто были преходящими. Имеются редкие сообщения о некоторых поздних неврологических нарушениях (гипертонии, судорожных припадках, аномальном поведении). В настоящее время неизвестно, являются ли такие неврологические нарушения преходящими или постоянными. Это следует иметь в виду при возникновении у ребенка тяжелых клинических нарушений (в частности — неврологических) неясной этиологии после внутриутробного воздействия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нуклеозидных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нуклеотидных аналогов. Эти результаты не влияют на существующие национальные рекомендации использовать антиретровирусное лечение беременным женщинам для профилактики вертикальной передачи ВИЧ.</w:t>
      </w:r>
    </w:p>
    <w:p w14:paraId="43859920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Синдром иммунной реактивации</w:t>
      </w:r>
    </w:p>
    <w:p w14:paraId="77504314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У ВИЧ-инфицированных пациентов с тяжелой иммунной недостаточностью на момент введения КАРТ может возникнуть воспалительная реакция на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асимптоматические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или остаточные оппортунистические патогены, что может быть причиной серьезных клинических состояний или усиления симптомов. Как правило, такие реакции наблюдались в течение первых нескольких недель или месяцев после начала КАРТ. Соответствующими примерами являются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цитомегаловирусный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ретинит, генерализованные и/или очаговые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микобактериальные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инфекции и пневмония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Pneumocystis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jirovecii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. Любые воспалительные симптомы необходимо оценивать и при необходимости назначать лечение. </w:t>
      </w:r>
    </w:p>
    <w:p w14:paraId="5D2A4A07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Аутоиммунные нарушения (например, болезнь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Грейвса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 также описаны при иммунной реактивации. Однако отмечается большая вариабельность времени возникновения </w:t>
      </w:r>
      <w:r w:rsidRPr="00704FB4">
        <w:rPr>
          <w:rFonts w:ascii="Times New Roman" w:eastAsia="Calibri" w:hAnsi="Times New Roman" w:cs="Times New Roman"/>
          <w:sz w:val="24"/>
          <w:szCs w:val="24"/>
        </w:rPr>
        <w:lastRenderedPageBreak/>
        <w:t>этого состояния, и оно может развиться через много месяцев после начала приема препаратов.</w:t>
      </w:r>
    </w:p>
    <w:p w14:paraId="3A66E0CF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Оппортунистические инфекции</w:t>
      </w:r>
    </w:p>
    <w:p w14:paraId="17CB3F1E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У ВИЧ-1 инфицированных пациентов, получающих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или любую другую антиретровирусную терапию, может продолжаться развитие оппортунистических инфекций и других осложнений ВИЧ-инфекции, поэтому они должны оставаться под тщательным клиническим наблюдением врачей, которые имеют опыт лечения пациентов с заболеваниями, связанными с ВИЧ.</w:t>
      </w:r>
    </w:p>
    <w:p w14:paraId="6B41142C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Остеонекроз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AAFD79E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Хотя этиология считается многофакторной (включая применение кортикостероидов, употребление алкоголя, тяжелое угнетение иммунитета, высокое значение индекса массы тела), о случаях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остеонекроза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сообщалось, в частности, относительно пациентов с развитым ВИЧ-заболеванием и/или длительным влиянием КАРТ. Частота возникновения указанного явления неизвестна. Пациентам следует порекомендовать обратиться за советом к врачу, если они испытывают боли в суставах, негибкость суставов или затруднения во время движений. </w:t>
      </w:r>
    </w:p>
    <w:p w14:paraId="06EF9727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04FB4">
        <w:rPr>
          <w:rFonts w:ascii="Times New Roman" w:eastAsia="Calibri" w:hAnsi="Times New Roman" w:cs="Times New Roman"/>
          <w:sz w:val="24"/>
          <w:szCs w:val="24"/>
          <w:u w:val="single"/>
        </w:rPr>
        <w:t>Одновременное применение с другими лекарственными средствами</w:t>
      </w:r>
    </w:p>
    <w:p w14:paraId="308662F9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Необходимо избегать применения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у пациентов, получающих или недавно получавших нефротоксические лекарственные средства (см. раздел </w:t>
      </w:r>
      <w:r w:rsidR="00294583" w:rsidRPr="00704FB4">
        <w:rPr>
          <w:rFonts w:ascii="Times New Roman" w:eastAsia="Calibri" w:hAnsi="Times New Roman" w:cs="Times New Roman"/>
          <w:sz w:val="24"/>
          <w:szCs w:val="24"/>
        </w:rPr>
        <w:t>4.5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). В случае неизбежности одновременного применения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нефротоксических средств следует еженедельно контролировать функцию почек.</w:t>
      </w:r>
    </w:p>
    <w:p w14:paraId="2E8FBFF4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У ВИЧ-1 инфицированных пациентов, получающих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имеющих факторы риска нарушения функции почек, зарегистрированы случаи острой почечной недостаточности после начала приема высоких доз или нескольких нестероидных противовоспалительных препаратов (НПВП). При одновременном приеме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с НПВП следует тщательно следить за функцией почек.</w:t>
      </w:r>
    </w:p>
    <w:p w14:paraId="5BC3B0C8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Повышенный риск поражения почек отмечен у ВИЧ-1 инфицированных пациентов, получающих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в сочетании с ингибитором протеаз, усиленным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ритонавиром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кобицистатом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. Такие пациенты нуждаются в тщательном наблюдении за функцией почек (см. раздел </w:t>
      </w:r>
      <w:r w:rsidR="0027721E" w:rsidRPr="00704FB4">
        <w:rPr>
          <w:rFonts w:ascii="Times New Roman" w:eastAsia="Calibri" w:hAnsi="Times New Roman" w:cs="Times New Roman"/>
          <w:sz w:val="24"/>
          <w:szCs w:val="24"/>
        </w:rPr>
        <w:t>4.5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). При наличии факторов риска поражения почек у ВИЧ-1 инфицированных пациентов следует тщательно оценить необходимость совместного применения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с усиленным ингибитором протеаз.</w:t>
      </w:r>
    </w:p>
    <w:p w14:paraId="7D61CAE2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не следует применять одновременно с другими лекарственными средствами, содержащими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(в виде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алафенамид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или другие аналоги цитидина, например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ламивудин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(см. раздел </w:t>
      </w:r>
      <w:r w:rsidR="0027721E" w:rsidRPr="00704FB4">
        <w:rPr>
          <w:rFonts w:ascii="Times New Roman" w:eastAsia="Calibri" w:hAnsi="Times New Roman" w:cs="Times New Roman"/>
          <w:sz w:val="24"/>
          <w:szCs w:val="24"/>
        </w:rPr>
        <w:t>4.5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).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не следует применять одновременно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адефовира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дипивоксилом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B14553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>Одновреме</w:t>
      </w:r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нное применение с </w:t>
      </w:r>
      <w:proofErr w:type="spellStart"/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>ледипасвиром</w:t>
      </w:r>
      <w:proofErr w:type="spellEnd"/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>софосбувиром</w:t>
      </w:r>
      <w:proofErr w:type="spellEnd"/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</w:rPr>
        <w:t>софосбувиром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</w:rPr>
        <w:t>велпатасвиром</w:t>
      </w:r>
      <w:proofErr w:type="spellEnd"/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или с комбинацией </w:t>
      </w:r>
      <w:proofErr w:type="spellStart"/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>софосбувир</w:t>
      </w:r>
      <w:proofErr w:type="spellEnd"/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>велпатасвир</w:t>
      </w:r>
      <w:proofErr w:type="spellEnd"/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="005C37EC" w:rsidRPr="00704FB4">
        <w:rPr>
          <w:rFonts w:ascii="Times New Roman" w:eastAsia="Calibri" w:hAnsi="Times New Roman" w:cs="Times New Roman"/>
          <w:i/>
          <w:sz w:val="24"/>
          <w:szCs w:val="24"/>
        </w:rPr>
        <w:t>воксилапревир</w:t>
      </w:r>
      <w:proofErr w:type="spellEnd"/>
    </w:p>
    <w:p w14:paraId="4ABD597E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Показано, что одновременное применение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фумарата</w:t>
      </w:r>
      <w:proofErr w:type="spellEnd"/>
      <w:r w:rsidR="005C37EC" w:rsidRPr="00704FB4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ледипасвиром</w:t>
      </w:r>
      <w:proofErr w:type="spellEnd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софосбувиром</w:t>
      </w:r>
      <w:proofErr w:type="spellEnd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,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софосбувиром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велпатасвиром</w:t>
      </w:r>
      <w:proofErr w:type="spellEnd"/>
      <w:r w:rsidR="005C37EC" w:rsidRPr="00704FB4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proofErr w:type="spellStart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софосбувиром</w:t>
      </w:r>
      <w:proofErr w:type="spellEnd"/>
      <w:r w:rsidR="005C37EC" w:rsidRPr="00704FB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велпатасвиром</w:t>
      </w:r>
      <w:proofErr w:type="spellEnd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воксилапревиром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повышает концентрацию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в плазме крови, особенно при сочетании со схемой лечения ВИЧ-инфекции, содержащей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фармакокинетический усилитель (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ритонавир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кобицистат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5D1F1688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Безопасность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в сочетании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ледипасви</w:t>
      </w:r>
      <w:r w:rsidR="005C37EC" w:rsidRPr="00704FB4">
        <w:rPr>
          <w:rFonts w:ascii="Times New Roman" w:eastAsia="Calibri" w:hAnsi="Times New Roman" w:cs="Times New Roman"/>
          <w:sz w:val="24"/>
          <w:szCs w:val="24"/>
        </w:rPr>
        <w:t>ром</w:t>
      </w:r>
      <w:proofErr w:type="spellEnd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софосбувиром</w:t>
      </w:r>
      <w:proofErr w:type="spellEnd"/>
      <w:r w:rsidR="005C37EC" w:rsidRPr="00704FB4">
        <w:rPr>
          <w:rFonts w:ascii="Times New Roman" w:eastAsia="Calibri" w:hAnsi="Times New Roman" w:cs="Times New Roman"/>
          <w:sz w:val="24"/>
          <w:szCs w:val="24"/>
        </w:rPr>
        <w:t>,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софосбувиром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велпатасвиром</w:t>
      </w:r>
      <w:proofErr w:type="spellEnd"/>
      <w:r w:rsidR="00A70834" w:rsidRPr="00704FB4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proofErr w:type="spellStart"/>
      <w:r w:rsidR="00A70834" w:rsidRPr="00704FB4">
        <w:rPr>
          <w:rFonts w:ascii="Times New Roman" w:eastAsia="Calibri" w:hAnsi="Times New Roman" w:cs="Times New Roman"/>
          <w:sz w:val="24"/>
          <w:szCs w:val="24"/>
        </w:rPr>
        <w:t>софосбувиром</w:t>
      </w:r>
      <w:proofErr w:type="spellEnd"/>
      <w:r w:rsidR="00A70834" w:rsidRPr="00704FB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="00A70834" w:rsidRPr="00704FB4">
        <w:rPr>
          <w:rFonts w:ascii="Times New Roman" w:eastAsia="Calibri" w:hAnsi="Times New Roman" w:cs="Times New Roman"/>
          <w:sz w:val="24"/>
          <w:szCs w:val="24"/>
        </w:rPr>
        <w:lastRenderedPageBreak/>
        <w:t>велпатасвиром</w:t>
      </w:r>
      <w:proofErr w:type="spellEnd"/>
      <w:r w:rsidR="00A70834" w:rsidRPr="00704FB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A70834" w:rsidRPr="00704FB4">
        <w:rPr>
          <w:rFonts w:ascii="Times New Roman" w:eastAsia="Calibri" w:hAnsi="Times New Roman" w:cs="Times New Roman"/>
          <w:sz w:val="24"/>
          <w:szCs w:val="24"/>
        </w:rPr>
        <w:t>воксилапревиром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фармакокинетическим усилителем не установлена. Следует оценивать возможные риски и преимущества, связанные с таким сочетанием, особенно у пациентов с повышенным риском нарушения функции почек. Пациенты, получающие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ледипасвир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софосбувир</w:t>
      </w:r>
      <w:proofErr w:type="spellEnd"/>
      <w:r w:rsidR="00A70834" w:rsidRPr="00704FB4">
        <w:rPr>
          <w:rFonts w:ascii="Times New Roman" w:eastAsia="Calibri" w:hAnsi="Times New Roman" w:cs="Times New Roman"/>
          <w:sz w:val="24"/>
          <w:szCs w:val="24"/>
        </w:rPr>
        <w:t>,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софосбувир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велпатасвир</w:t>
      </w:r>
      <w:proofErr w:type="spellEnd"/>
      <w:r w:rsidR="00A70834" w:rsidRPr="00704FB4"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="00A70834" w:rsidRPr="00704FB4">
        <w:t xml:space="preserve"> </w:t>
      </w:r>
      <w:proofErr w:type="spellStart"/>
      <w:r w:rsidR="00A70834" w:rsidRPr="00704FB4">
        <w:rPr>
          <w:rFonts w:ascii="Times New Roman" w:eastAsia="Calibri" w:hAnsi="Times New Roman" w:cs="Times New Roman"/>
          <w:sz w:val="24"/>
          <w:szCs w:val="24"/>
        </w:rPr>
        <w:t>софосбувир</w:t>
      </w:r>
      <w:proofErr w:type="spellEnd"/>
      <w:r w:rsidR="00A70834" w:rsidRPr="00704FB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="00A70834" w:rsidRPr="00704FB4">
        <w:rPr>
          <w:rFonts w:ascii="Times New Roman" w:eastAsia="Calibri" w:hAnsi="Times New Roman" w:cs="Times New Roman"/>
          <w:sz w:val="24"/>
          <w:szCs w:val="24"/>
        </w:rPr>
        <w:t>велпатасвир</w:t>
      </w:r>
      <w:proofErr w:type="spellEnd"/>
      <w:r w:rsidR="00A70834" w:rsidRPr="00704FB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A70834" w:rsidRPr="00704FB4">
        <w:rPr>
          <w:rFonts w:ascii="Times New Roman" w:eastAsia="Calibri" w:hAnsi="Times New Roman" w:cs="Times New Roman"/>
          <w:sz w:val="24"/>
          <w:szCs w:val="24"/>
        </w:rPr>
        <w:t>воксилапревир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одновременно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усиленным ингибитором протеазы ВИЧ, должны находиться под наблюдением для выявления нежелательных реакций, связанных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B03E7E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Одновременное применение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с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</w:rPr>
        <w:t>диданозином</w:t>
      </w:r>
      <w:proofErr w:type="spellEnd"/>
    </w:p>
    <w:p w14:paraId="605A2E81" w14:textId="38FBED26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>Такое сочетание не рекомендуется</w:t>
      </w:r>
      <w:r w:rsidR="0012512F" w:rsidRPr="00704FB4">
        <w:rPr>
          <w:rFonts w:ascii="Times New Roman" w:eastAsia="Calibri" w:hAnsi="Times New Roman" w:cs="Times New Roman"/>
          <w:sz w:val="24"/>
          <w:szCs w:val="24"/>
        </w:rPr>
        <w:t xml:space="preserve"> (см. раздел 4.5).</w:t>
      </w:r>
    </w:p>
    <w:p w14:paraId="7EB6F6AE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Тройная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нуклеозидная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 терапия</w:t>
      </w:r>
    </w:p>
    <w:p w14:paraId="4C228006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Поступали сообщения о высокой частоте </w:t>
      </w:r>
      <w:r w:rsidRPr="00704FB4">
        <w:rPr>
          <w:rFonts w:ascii="Times New Roman" w:eastAsia="Calibri" w:hAnsi="Times New Roman" w:cs="Times New Roman"/>
          <w:sz w:val="24"/>
          <w:szCs w:val="24"/>
        </w:rPr>
        <w:t>отсутствия вирусологического ответа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появлении резистентности на ранней стадии лечения ВИЧ-1 инфицированных пациентов при сочетании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ламивудином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абакавиром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а также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ламивудином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диданозином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по схеме введения 1 раз в сутки. Существует близкое структурное сходство между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ламивудином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а также сходство фармакокинетики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фармакодинамики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этих двух средств. Поэтому такие же проблемы могут возникнуть при применении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 третьим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нуклеозидным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аналогом.</w:t>
      </w:r>
    </w:p>
    <w:p w14:paraId="6296481C" w14:textId="77777777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Пациенты пожилого возраста</w:t>
      </w:r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A594386" w14:textId="267C6D1D" w:rsidR="0022123A" w:rsidRPr="00704FB4" w:rsidRDefault="0022123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Исследование </w:t>
      </w:r>
      <w:r w:rsidR="0012512F" w:rsidRPr="00704FB4">
        <w:rPr>
          <w:rFonts w:ascii="Times New Roman" w:eastAsia="Calibri" w:hAnsi="Times New Roman" w:cs="Times New Roman"/>
          <w:sz w:val="24"/>
          <w:szCs w:val="24"/>
        </w:rPr>
        <w:t>комбинации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среди пациентов в возрасте старше 65 лет не проводилось. Пациенты пожилого возраста в большей степени склонны иметь пониженную почечную функцию, поэтому во время лечения этой популяции препаратом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необходимо соблюдать осторожность.</w:t>
      </w:r>
    </w:p>
    <w:p w14:paraId="0D802DFF" w14:textId="77777777" w:rsidR="0058004A" w:rsidRPr="00704FB4" w:rsidRDefault="0058004A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>Вспомогательные вещества</w:t>
      </w:r>
    </w:p>
    <w:p w14:paraId="0971399A" w14:textId="77777777" w:rsidR="0058004A" w:rsidRPr="00704FB4" w:rsidRDefault="0058004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В одной таблетке содержится 80 мг натрия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кроскармеллозы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, необходимо соблюдать осторожность при назначении лицам, соблюдающим бессолевую диету.</w:t>
      </w:r>
    </w:p>
    <w:p w14:paraId="57BB71A1" w14:textId="77777777" w:rsidR="0058004A" w:rsidRPr="00704FB4" w:rsidRDefault="0058004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В одной таблетке содержится 145 мг лактозы, противопоказано лицам с наследственной непереносимостью галактозы, дефицитом фермента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Lapp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(ЛАПП)-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лактазы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мальабсорбцией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глюкозы-галактозы.</w:t>
      </w:r>
    </w:p>
    <w:p w14:paraId="4D031F87" w14:textId="77777777" w:rsidR="0031198A" w:rsidRPr="00704FB4" w:rsidRDefault="0031198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</w:p>
    <w:p w14:paraId="0BDD696B" w14:textId="77777777" w:rsidR="009F7D92" w:rsidRPr="00704FB4" w:rsidRDefault="0031198A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 xml:space="preserve">4.5. </w:t>
      </w:r>
      <w:r w:rsidR="009F7D92" w:rsidRPr="00704FB4">
        <w:rPr>
          <w:rFonts w:ascii="Times New Roman" w:hAnsi="Times New Roman" w:cs="Times New Roman"/>
          <w:b/>
          <w:sz w:val="24"/>
          <w:szCs w:val="24"/>
        </w:rPr>
        <w:t>Взаимодействи</w:t>
      </w:r>
      <w:r w:rsidRPr="00704FB4">
        <w:rPr>
          <w:rFonts w:ascii="Times New Roman" w:hAnsi="Times New Roman" w:cs="Times New Roman"/>
          <w:b/>
          <w:sz w:val="24"/>
          <w:szCs w:val="24"/>
        </w:rPr>
        <w:t>я</w:t>
      </w:r>
      <w:r w:rsidR="009F7D92" w:rsidRPr="00704FB4">
        <w:rPr>
          <w:rFonts w:ascii="Times New Roman" w:hAnsi="Times New Roman" w:cs="Times New Roman"/>
          <w:b/>
          <w:sz w:val="24"/>
          <w:szCs w:val="24"/>
        </w:rPr>
        <w:t xml:space="preserve"> с другими лекарственными препаратами и другие виды взаимодействия.</w:t>
      </w:r>
    </w:p>
    <w:p w14:paraId="4821EC83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Поскольку комбинированный препарат </w:t>
      </w:r>
      <w:proofErr w:type="spellStart"/>
      <w:r w:rsidRPr="00704FB4">
        <w:rPr>
          <w:rFonts w:ascii="Times New Roman" w:eastAsia="Calibri" w:hAnsi="Times New Roman" w:cs="Times New Roman"/>
          <w:bCs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bCs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bCs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bCs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bCs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 содержит </w:t>
      </w:r>
      <w:proofErr w:type="spellStart"/>
      <w:r w:rsidRPr="00704FB4">
        <w:rPr>
          <w:rFonts w:ascii="Times New Roman" w:eastAsia="Calibri" w:hAnsi="Times New Roman" w:cs="Times New Roman"/>
          <w:bCs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bCs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bCs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bCs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, любые взаимодействия, которые были выявлены для каждого из этих веществ по отдельности, могут быть применимы к препарату </w:t>
      </w:r>
      <w:proofErr w:type="spellStart"/>
      <w:r w:rsidRPr="00704FB4">
        <w:rPr>
          <w:rFonts w:ascii="Times New Roman" w:eastAsia="Calibri" w:hAnsi="Times New Roman" w:cs="Times New Roman"/>
          <w:bCs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bCs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bCs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bCs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bCs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87B31BC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Исследования взаимодействия проводились только у взрослых. </w:t>
      </w:r>
    </w:p>
    <w:p w14:paraId="092FD277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Фармакокинетика стационарного состояния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 подвергалась влиянию при совместном приеме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по сравнению с введением каждого лекарственного препарата отдельно.</w:t>
      </w:r>
    </w:p>
    <w:p w14:paraId="0AA9D88E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Исследования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vitro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и клинического фармакокинетического взаимодействия показали низкую возможность взаимодействий, опосредованных CYP450, при участии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с другими лекарственными средствами.</w:t>
      </w:r>
    </w:p>
    <w:p w14:paraId="30E57157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u w:val="single"/>
          <w:lang w:bidi="ar-IQ"/>
        </w:rPr>
        <w:t>Одновременное применение не рекомендуется</w:t>
      </w:r>
    </w:p>
    <w:p w14:paraId="6D39E175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Препарат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не следует применять одновременно с другими лекарственными препаратами, содержащими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или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дизопроксил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(в виде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),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алафенамид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или другие аналоги цитидина, например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ламивудин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(см. раздел </w:t>
      </w:r>
      <w:r w:rsidR="002516D3" w:rsidRPr="00704FB4">
        <w:rPr>
          <w:rFonts w:ascii="Times New Roman" w:eastAsia="Calibri" w:hAnsi="Times New Roman" w:cs="Times New Roman"/>
          <w:iCs/>
          <w:sz w:val="24"/>
          <w:szCs w:val="24"/>
        </w:rPr>
        <w:t>4.4</w:t>
      </w:r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). Препарат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тенофовир</w:t>
      </w:r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не следует применять одновременно с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адефовира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дипивоксилом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08B30F3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iCs/>
          <w:strike/>
          <w:sz w:val="24"/>
          <w:szCs w:val="24"/>
        </w:rPr>
      </w:pP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Диданозин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Не рекомендуется применять препарат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iCs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одновременно с </w:t>
      </w:r>
      <w:proofErr w:type="spellStart"/>
      <w:r w:rsidRPr="00704FB4">
        <w:rPr>
          <w:rFonts w:ascii="Times New Roman" w:eastAsia="Calibri" w:hAnsi="Times New Roman" w:cs="Times New Roman"/>
          <w:iCs/>
          <w:sz w:val="24"/>
          <w:szCs w:val="24"/>
        </w:rPr>
        <w:t>диданозином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(см. раздел </w:t>
      </w:r>
      <w:r w:rsidR="002516D3" w:rsidRPr="00704FB4">
        <w:rPr>
          <w:rFonts w:ascii="Times New Roman" w:eastAsia="Calibri" w:hAnsi="Times New Roman" w:cs="Times New Roman"/>
          <w:sz w:val="24"/>
          <w:szCs w:val="24"/>
        </w:rPr>
        <w:t>4.4 и таблицу 2</w:t>
      </w:r>
      <w:r w:rsidRPr="00704FB4">
        <w:rPr>
          <w:rFonts w:ascii="Times New Roman" w:eastAsia="Calibri" w:hAnsi="Times New Roman" w:cs="Times New Roman"/>
          <w:sz w:val="24"/>
          <w:szCs w:val="24"/>
        </w:rPr>
        <w:t>)</w:t>
      </w:r>
      <w:r w:rsidRPr="00704FB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6E1C666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Лекарственные средства, которые выводятся через почки.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Поскольку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выводятся преимущественно через почки, одновременное введение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с лекарственными препаратами, снижающими почечную функцию или конкурирующими за активную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канальцевую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секрецию (например,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цидофовиром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), может повышать концентрацию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и/или лекарственных препаратов, вводимых одновременно, в сыворотке крови.</w:t>
      </w:r>
    </w:p>
    <w:p w14:paraId="2E851504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Необходимо избегать применения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с одновременным или недавним применен</w:t>
      </w:r>
      <w:r w:rsidR="002B55D3" w:rsidRPr="00704FB4">
        <w:rPr>
          <w:rFonts w:ascii="Times New Roman" w:eastAsia="Calibri" w:hAnsi="Times New Roman" w:cs="Times New Roman"/>
          <w:sz w:val="24"/>
          <w:szCs w:val="24"/>
        </w:rPr>
        <w:t>ием нефротоксических лекарствен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ных средств (например, но не исключительно, аминогликозидов,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амфотерицина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 B,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фоскарнета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ганцикловира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пентамидина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, ванкомицина,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цидофовира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интерлейкина - 2) (см. раздел </w:t>
      </w:r>
      <w:r w:rsidR="002516D3" w:rsidRPr="00704FB4">
        <w:rPr>
          <w:rFonts w:ascii="Times New Roman" w:eastAsia="Calibri" w:hAnsi="Times New Roman" w:cs="Times New Roman"/>
          <w:sz w:val="24"/>
          <w:szCs w:val="24"/>
        </w:rPr>
        <w:t>4.4</w:t>
      </w:r>
      <w:r w:rsidRPr="00704FB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2840BC0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04FB4">
        <w:rPr>
          <w:rFonts w:ascii="Times New Roman" w:eastAsia="Calibri" w:hAnsi="Times New Roman" w:cs="Times New Roman"/>
          <w:sz w:val="24"/>
          <w:szCs w:val="24"/>
          <w:u w:val="single"/>
        </w:rPr>
        <w:t>Другие взаимодействия</w:t>
      </w:r>
    </w:p>
    <w:p w14:paraId="5EC3A1A9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Взаимодействия между препаратом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или его отдельными компонентами и другими лекарственными препарата</w:t>
      </w:r>
      <w:r w:rsidR="002516D3" w:rsidRPr="00704FB4">
        <w:rPr>
          <w:rFonts w:ascii="Times New Roman" w:eastAsia="Calibri" w:hAnsi="Times New Roman" w:cs="Times New Roman"/>
          <w:sz w:val="24"/>
          <w:szCs w:val="24"/>
        </w:rPr>
        <w:t>ми представлены ниже в Таблице 2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(увеличение обозначено «↑», уменьшение – «↓», отсутствие изменений – «↔», два раза в сутки – «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b.i.d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.» и один раз в сутки – «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q.d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.»). При наличии данных 90 % доверительный интервал указан в скобках.</w:t>
      </w:r>
      <w:r w:rsidRPr="00704FB4" w:rsidDel="003649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1DB33A" w14:textId="77777777" w:rsidR="0003407C" w:rsidRPr="00704FB4" w:rsidRDefault="002516D3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14:paraId="187181F4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Взаимодействия между препаратом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AB473D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AB473D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73D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или его отдельными компонентами и другими лекарственными средствами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4"/>
        <w:gridCol w:w="2219"/>
        <w:gridCol w:w="3024"/>
      </w:tblGrid>
      <w:tr w:rsidR="006C65E4" w:rsidRPr="00704FB4" w14:paraId="1549FFD5" w14:textId="77777777" w:rsidTr="00B30272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4DD" w14:textId="77777777" w:rsidR="000B56E4" w:rsidRPr="00704FB4" w:rsidRDefault="000B56E4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Лекарственное средство по направлениям лечения</w:t>
            </w:r>
          </w:p>
          <w:p w14:paraId="08FA071C" w14:textId="77777777" w:rsidR="000B56E4" w:rsidRPr="00704FB4" w:rsidRDefault="000B56E4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61F5" w14:textId="77777777" w:rsidR="000B56E4" w:rsidRPr="00704FB4" w:rsidRDefault="000B56E4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Влияние на уровни препарата,</w:t>
            </w:r>
          </w:p>
          <w:p w14:paraId="4C8DFB53" w14:textId="77777777" w:rsidR="000B56E4" w:rsidRPr="00704FB4" w:rsidRDefault="000B56E4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процентное изменение</w:t>
            </w:r>
          </w:p>
          <w:p w14:paraId="7DEF7AC9" w14:textId="77777777" w:rsidR="000B56E4" w:rsidRPr="00704FB4" w:rsidRDefault="000B56E4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90% доверительным интервалом при наличии данных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6D7" w14:textId="77777777" w:rsidR="000B56E4" w:rsidRPr="00704FB4" w:rsidRDefault="000B56E4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Рекомендация относительно одновременного введения с препаратом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</w:tc>
      </w:tr>
      <w:tr w:rsidR="0003407C" w:rsidRPr="00704FB4" w14:paraId="34E54CB4" w14:textId="77777777" w:rsidTr="00B302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4D2B" w14:textId="2DAFD409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ПРОТИВОИНФЕКЦИОННЫЕ</w:t>
            </w:r>
            <w:r w:rsidR="0021131E" w:rsidRPr="00704F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ПРЕПАРАТЫ</w:t>
            </w:r>
          </w:p>
        </w:tc>
      </w:tr>
      <w:tr w:rsidR="0003407C" w:rsidRPr="00704FB4" w14:paraId="65ADEB7E" w14:textId="77777777" w:rsidTr="00B302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665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Антиретровирусные</w:t>
            </w:r>
          </w:p>
        </w:tc>
      </w:tr>
      <w:tr w:rsidR="0003407C" w:rsidRPr="00704FB4" w14:paraId="40E937A0" w14:textId="77777777" w:rsidTr="00B302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383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Ингибиторы протеазы</w:t>
            </w:r>
          </w:p>
        </w:tc>
      </w:tr>
      <w:tr w:rsidR="006C65E4" w:rsidRPr="00704FB4" w14:paraId="574EC707" w14:textId="77777777" w:rsidTr="00B30272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BDF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Атазанавир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1A0F28C3" w14:textId="6961A195" w:rsidR="0003407C" w:rsidRPr="00704FB4" w:rsidRDefault="0003407C" w:rsidP="0067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82A0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Атазанавир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2EF2066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25 % (↓ 42 - ↓ 3)</w:t>
            </w:r>
          </w:p>
          <w:p w14:paraId="1ABAAE97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28 % (↓ 50 - ↑ 5)</w:t>
            </w:r>
          </w:p>
          <w:p w14:paraId="06C89FEA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26 % (↓ 46 - ↑ 10)</w:t>
            </w:r>
          </w:p>
          <w:p w14:paraId="59AB8B4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50C0B2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 37 %</w:t>
            </w:r>
          </w:p>
          <w:p w14:paraId="5A1391A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 34 %</w:t>
            </w:r>
          </w:p>
          <w:p w14:paraId="3BC7BB5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04F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↑ 29 %</w:t>
            </w:r>
          </w:p>
        </w:tc>
        <w:tc>
          <w:tcPr>
            <w:tcW w:w="1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BB6B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дозы не рекомендуется. Увеличенная экспозиция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усиливать связанные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побочные действия, включая почечные нарушения. Необходимо тщательно наблюдать за функцией почек (см. раздел </w:t>
            </w:r>
            <w:r w:rsidR="002516D3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6C65E4" w:rsidRPr="00704FB4" w14:paraId="02BB28AD" w14:textId="77777777" w:rsidTr="00B30272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B5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Атазанавир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18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не изучалось.</w:t>
            </w:r>
          </w:p>
        </w:tc>
        <w:tc>
          <w:tcPr>
            <w:tcW w:w="1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AF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65E4" w:rsidRPr="00704FB4" w14:paraId="0107F16D" w14:textId="77777777" w:rsidTr="00B30272">
        <w:trPr>
          <w:trHeight w:val="3244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387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Дарунавир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5CA3D21A" w14:textId="24590DA9" w:rsidR="0003407C" w:rsidRPr="00704FB4" w:rsidRDefault="0003407C" w:rsidP="00671AE9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(300 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./100 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мг 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B0C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Дарунавир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BDA488A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101DC448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0FFB214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5FA4BF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C401A6B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22 %</w:t>
            </w:r>
          </w:p>
          <w:p w14:paraId="124224FC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37 %</w:t>
            </w:r>
          </w:p>
        </w:tc>
        <w:tc>
          <w:tcPr>
            <w:tcW w:w="1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18E2C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дозы не рекомендуется. Увеличенная экспозиция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усиливать связанные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Побочные действия, включая почечные нарушения. Необходимо тщательно наблюдать за функцией почек (см. раздел </w:t>
            </w:r>
            <w:r w:rsidR="00E1300E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6C65E4" w:rsidRPr="00704FB4" w14:paraId="2BBDF079" w14:textId="77777777" w:rsidTr="00B30272">
        <w:trPr>
          <w:trHeight w:val="613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1FF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Дарунавир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3C18CB3C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999" w14:textId="0CB1792C" w:rsidR="000713D4" w:rsidRPr="00D35BEB" w:rsidRDefault="0003407C" w:rsidP="00D35BEB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не изучалось.</w:t>
            </w:r>
          </w:p>
        </w:tc>
        <w:tc>
          <w:tcPr>
            <w:tcW w:w="1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7D1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65E4" w:rsidRPr="00704FB4" w14:paraId="46D5EED9" w14:textId="77777777" w:rsidTr="00B30272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9BD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Лопинавир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2E4B41F3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182DDC66" w14:textId="435DAA20" w:rsidR="0003407C" w:rsidRPr="00704FB4" w:rsidRDefault="0003407C" w:rsidP="003B26D8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b.i.d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b.i.d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r w:rsidR="003B26D8" w:rsidRPr="003B26D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5B8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Лопинавир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91B6452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4AE45469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48729F2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4060EEAC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B11A71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25058B6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 ↑ 32 % (↑ 25 - ↑ 38)</w:t>
            </w:r>
          </w:p>
          <w:p w14:paraId="3F681B07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.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17E1BE60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51 % (↑ 37 - ↑ 66)</w:t>
            </w:r>
          </w:p>
          <w:p w14:paraId="4A5132C1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4F3B3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дозы не рекомендуется. Увеличенная экспозиция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усиливать связанные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побочные действия, включая почечные нарушения. Необходимо тщательно наблюдать за функцией почек (см. раздел </w:t>
            </w:r>
            <w:r w:rsidR="00130CA4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4.4).</w:t>
            </w:r>
          </w:p>
        </w:tc>
      </w:tr>
      <w:tr w:rsidR="006C65E4" w:rsidRPr="00704FB4" w14:paraId="3CA63ECC" w14:textId="77777777" w:rsidTr="00B30272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5FD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Лопинавир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5103581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159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не изучалось.</w:t>
            </w:r>
          </w:p>
        </w:tc>
        <w:tc>
          <w:tcPr>
            <w:tcW w:w="1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B39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407C" w:rsidRPr="00704FB4" w14:paraId="07A46EC6" w14:textId="77777777" w:rsidTr="00B302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E93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Нуклеозидные</w:t>
            </w:r>
            <w:proofErr w:type="spellEnd"/>
            <w:r w:rsidRPr="0070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ингибиторы обратной транскриптазы </w:t>
            </w:r>
          </w:p>
        </w:tc>
      </w:tr>
      <w:tr w:rsidR="006C65E4" w:rsidRPr="00704FB4" w14:paraId="74A1A42D" w14:textId="77777777" w:rsidTr="00B30272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4E96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Диданозин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B439" w14:textId="166AA7AE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Одновременное введение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диданозина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приво</w:t>
            </w:r>
            <w:r w:rsidR="009458E7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40–60% повышению системной экспозиции к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диданозину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что может увеличивать риск связанных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диданозином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побочных действий. </w:t>
            </w:r>
          </w:p>
        </w:tc>
        <w:tc>
          <w:tcPr>
            <w:tcW w:w="1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46713" w14:textId="77777777" w:rsidR="0003407C" w:rsidRPr="00704FB4" w:rsidRDefault="0003407C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Одновременное применение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диданозина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рекомендуется (</w:t>
            </w:r>
            <w:r w:rsidR="009458E7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</w:t>
            </w:r>
          </w:p>
          <w:p w14:paraId="1ABCF8F2" w14:textId="77777777" w:rsidR="006C65E4" w:rsidRPr="00704FB4" w:rsidRDefault="006C65E4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3FBF7B" w14:textId="686CBA62" w:rsidR="006C65E4" w:rsidRPr="00704FB4" w:rsidRDefault="006C65E4" w:rsidP="000713D4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Сообщалось о нечастых, иногда летальных, случаях панкреатита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лактат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-ацидоза. Одновременное применение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диданозина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дозе 400 мг в сутки было связано со значительным уменьшением количества клеток CD4, возможно, в связи с межклеточным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взаимодей-ствием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что повышает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фосфорилированный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(то 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есть активный)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диданозин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Уменьшенное дозирование в 250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диданозина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который применяется одновременно с терапией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было связано с сообщениями о высокой частоте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вирусоло-гического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неудачного лечения при нескольких исследованных комбинациях для лечения ВИЧ-1 инфекции.</w:t>
            </w:r>
          </w:p>
        </w:tc>
      </w:tr>
      <w:tr w:rsidR="006C65E4" w:rsidRPr="00704FB4" w14:paraId="6332F51E" w14:textId="77777777" w:rsidTr="00B30272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20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Диданозин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246B9DC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916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не изучалось.</w:t>
            </w:r>
          </w:p>
        </w:tc>
        <w:tc>
          <w:tcPr>
            <w:tcW w:w="1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AEC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65E4" w:rsidRPr="00704FB4" w14:paraId="1B30A52F" w14:textId="77777777" w:rsidTr="00B30272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96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Ламивудин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E4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Ламивудин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0DCFE6C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3 % (↓ 8 %–↑ 15)</w:t>
            </w:r>
          </w:p>
          <w:p w14:paraId="39191EAC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24 % (↓ 44–↓ 12)</w:t>
            </w:r>
          </w:p>
          <w:p w14:paraId="13BA711F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  <w:p w14:paraId="72927FE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410832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EE4532F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4 % (↓ 15–↑ 8)</w:t>
            </w:r>
          </w:p>
          <w:p w14:paraId="28581701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102 % (↓ 96–↑ 108)</w:t>
            </w:r>
          </w:p>
          <w:p w14:paraId="56774E8A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</w:tc>
        <w:tc>
          <w:tcPr>
            <w:tcW w:w="1627" w:type="pct"/>
          </w:tcPr>
          <w:p w14:paraId="3A0CE16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Ламивудин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препарат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r w:rsidR="00AB473D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="00AB473D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73D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="00AB473D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73D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следует </w:t>
            </w:r>
            <w:r w:rsidR="00F31948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 (</w:t>
            </w:r>
            <w:r w:rsidR="00F31948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</w:t>
            </w:r>
          </w:p>
        </w:tc>
      </w:tr>
      <w:tr w:rsidR="006C65E4" w:rsidRPr="00704FB4" w14:paraId="4230A0EA" w14:textId="77777777" w:rsidTr="00B30272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B15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Эфавиренз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2CB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Эфавиренз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6AB68F4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4 % (↓ 7–↓ 1)</w:t>
            </w:r>
          </w:p>
          <w:p w14:paraId="28E65639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4 % (↓ 9–↑ 2)</w:t>
            </w:r>
          </w:p>
          <w:p w14:paraId="27868CAB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  <w:p w14:paraId="6FCF4C4B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AEC0B8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1244D34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1 % (↓ 8–↑ 6)</w:t>
            </w:r>
          </w:p>
          <w:p w14:paraId="38B28F32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7 % (↓ 6–↑ 22)</w:t>
            </w:r>
          </w:p>
          <w:p w14:paraId="352C39B2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</w:tc>
        <w:tc>
          <w:tcPr>
            <w:tcW w:w="1627" w:type="pct"/>
          </w:tcPr>
          <w:p w14:paraId="7CAE34E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дозы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эфавиренза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требуется.</w:t>
            </w:r>
          </w:p>
        </w:tc>
      </w:tr>
      <w:tr w:rsidR="0003407C" w:rsidRPr="00704FB4" w14:paraId="592E5B04" w14:textId="77777777" w:rsidTr="00B30272">
        <w:tc>
          <w:tcPr>
            <w:tcW w:w="49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9A1BE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ПРОТИВОИНФЕКЦИОННЫЕ</w:t>
            </w:r>
          </w:p>
        </w:tc>
      </w:tr>
      <w:tr w:rsidR="0003407C" w:rsidRPr="00704FB4" w14:paraId="147B6812" w14:textId="77777777" w:rsidTr="00B30272">
        <w:tc>
          <w:tcPr>
            <w:tcW w:w="49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6955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Средства, действующие на вирус гепатита В (ВГВ)</w:t>
            </w:r>
          </w:p>
        </w:tc>
      </w:tr>
      <w:tr w:rsidR="00C727BE" w:rsidRPr="00704FB4" w14:paraId="278BE026" w14:textId="77777777" w:rsidTr="00B30272"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8F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Адефовира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дипивоксил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29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Адефовира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дипивоксил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3EE68AA7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11 % (↓ 14–↓ 7)</w:t>
            </w:r>
          </w:p>
          <w:p w14:paraId="2D620AAD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7 % (↓ 13–↓ 0)</w:t>
            </w:r>
          </w:p>
          <w:p w14:paraId="254058CE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  <w:p w14:paraId="309B950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B0FE3D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0165C0D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2 % (↓ 5–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↑ 0)</w:t>
            </w:r>
          </w:p>
          <w:p w14:paraId="64D63C28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1 % (↓ 7–↑ 6)</w:t>
            </w:r>
          </w:p>
          <w:p w14:paraId="09CEB7C8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</w:tc>
        <w:tc>
          <w:tcPr>
            <w:tcW w:w="1627" w:type="pct"/>
          </w:tcPr>
          <w:p w14:paraId="5A6D20B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Адефовира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дипивоксил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препарат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r w:rsidR="00AB473D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="00AB473D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73D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="00AB473D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73D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следует вводить одновременно (</w:t>
            </w:r>
            <w:r w:rsidR="00F31948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</w:t>
            </w:r>
          </w:p>
        </w:tc>
      </w:tr>
      <w:tr w:rsidR="0003407C" w:rsidRPr="00704FB4" w14:paraId="1E449DD4" w14:textId="77777777" w:rsidTr="00B30272">
        <w:tc>
          <w:tcPr>
            <w:tcW w:w="49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22CDF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Средства, действующие на вирус гепатита С (ВГС)</w:t>
            </w:r>
          </w:p>
        </w:tc>
      </w:tr>
      <w:tr w:rsidR="00C727BE" w:rsidRPr="00704FB4" w14:paraId="6DC0438C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496795B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</w:p>
          <w:p w14:paraId="25E7AD8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(90 мг/400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43F8ED4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Атазанавир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</w:p>
          <w:p w14:paraId="3FB3C9C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6F51DE3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32C5EF65" w14:textId="188EDDE0" w:rsidR="0003407C" w:rsidRPr="00704FB4" w:rsidRDefault="0003407C" w:rsidP="0067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(200 мг/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6E7DB74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7EC0FF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96 % (↑ 74–↑ 121)</w:t>
            </w:r>
          </w:p>
          <w:p w14:paraId="662DE23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68 % (↑ 54–↑ 84)</w:t>
            </w:r>
          </w:p>
          <w:p w14:paraId="094CC74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118 % (↑ 91–↑ 150)</w:t>
            </w:r>
          </w:p>
          <w:p w14:paraId="6186B4F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D8E8A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761493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5A42D64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5123B2C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8DF9E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EB8A73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2CF4182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B4FD0A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42 % (↑ 34–↑ 49)</w:t>
            </w:r>
          </w:p>
          <w:p w14:paraId="3004AF3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EC2F0A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Атазанавир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797136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59D137D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4A589EA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63 % (↑ 45–↑ 84)</w:t>
            </w:r>
          </w:p>
          <w:p w14:paraId="44CC560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0DE63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645E6B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2B08B0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9D2DDF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45 % (↑ 27–↑ 64)</w:t>
            </w:r>
          </w:p>
          <w:p w14:paraId="1999423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8D0AE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8E7DCC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220D226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CEE4D3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D14475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0195D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DDF478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79C7023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47 % (↑ 37–↑ 58)</w:t>
            </w:r>
          </w:p>
          <w:p w14:paraId="62ADF16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47 % (↑ 38–↑ 57)</w:t>
            </w:r>
          </w:p>
        </w:tc>
        <w:tc>
          <w:tcPr>
            <w:tcW w:w="1627" w:type="pct"/>
          </w:tcPr>
          <w:p w14:paraId="461286AF" w14:textId="0932E586" w:rsidR="00F31948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концентрации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плазме при совместном введении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</w:t>
            </w:r>
            <w:r w:rsidR="00F31948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бувира</w:t>
            </w:r>
            <w:proofErr w:type="spellEnd"/>
            <w:r w:rsidR="00F31948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атазанавира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4FC5BCFE" w14:textId="5ACC045A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почечные нарушения. Безопасность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совместном применении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</w:t>
            </w:r>
            <w:r w:rsidR="00F31948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бувиром</w:t>
            </w:r>
            <w:proofErr w:type="spellEnd"/>
            <w:r w:rsidR="00F31948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фармакокинетическим усилителем (например,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кобицистатом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) не установлена.</w:t>
            </w:r>
          </w:p>
          <w:p w14:paraId="6FF038C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Это сочетание следует использовать с осторожностью при частом контроле функции почек, если отсутствуют другие варианты лечения (</w:t>
            </w:r>
            <w:r w:rsidR="00F31948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727BE" w:rsidRPr="00704FB4" w14:paraId="2E437AEC" w14:textId="77777777" w:rsidTr="00B30272">
        <w:trPr>
          <w:trHeight w:val="1407"/>
        </w:trPr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03EC56D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</w:p>
          <w:p w14:paraId="1CCCF94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(90 мг/400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7E84244E" w14:textId="77777777" w:rsidR="0003407C" w:rsidRPr="00704FB4" w:rsidRDefault="0003407C" w:rsidP="000713D4">
            <w:pPr>
              <w:tabs>
                <w:tab w:val="left" w:pos="9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Дарунавир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</w:p>
          <w:p w14:paraId="2E71CCC8" w14:textId="77777777" w:rsidR="0003407C" w:rsidRPr="00704FB4" w:rsidRDefault="0003407C" w:rsidP="000713D4">
            <w:pPr>
              <w:tabs>
                <w:tab w:val="left" w:pos="9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5EC9E5A7" w14:textId="77777777" w:rsidR="0003407C" w:rsidRPr="00704FB4" w:rsidRDefault="0003407C" w:rsidP="000713D4">
            <w:pPr>
              <w:tabs>
                <w:tab w:val="left" w:pos="9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027C1F13" w14:textId="003195CC" w:rsidR="0003407C" w:rsidRPr="00704FB4" w:rsidRDefault="0003407C" w:rsidP="00671AE9">
            <w:pPr>
              <w:tabs>
                <w:tab w:val="left" w:pos="9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(200 мг/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6EC0C27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Ледипасвир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3F2242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2B61EEE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71785D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C77369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477223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27 % (↓ 35–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↓ 18)</w:t>
            </w:r>
          </w:p>
          <w:p w14:paraId="79696C0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37 % (↓ 48–↓ 25)</w:t>
            </w:r>
          </w:p>
          <w:p w14:paraId="5C61472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AF315C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7A96799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79C4301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7676854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BE4C0C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Дарунавир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1C54C9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1919229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744FCDF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49E87C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0CAC1F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3D800C2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7460065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48 % (↑ 34–↑ 63)</w:t>
            </w:r>
          </w:p>
          <w:p w14:paraId="22DF47D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D2D01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486519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1FF5915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AD5448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52B35A1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941D2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E2EC06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50 % (↑ 42–↑ 59)</w:t>
            </w:r>
          </w:p>
          <w:p w14:paraId="4298E0F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64 % (↑ 54–↑ 74)</w:t>
            </w:r>
          </w:p>
          <w:p w14:paraId="7DFBA65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59 % (↑ 49–↑ 70)</w:t>
            </w:r>
          </w:p>
        </w:tc>
        <w:tc>
          <w:tcPr>
            <w:tcW w:w="1627" w:type="pct"/>
          </w:tcPr>
          <w:p w14:paraId="3A2866EA" w14:textId="1EA2097A" w:rsidR="002B55D3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концентрации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плазме при совместном введении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дарунавира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</w:t>
            </w:r>
            <w:r w:rsidR="00F31948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навира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почечные нарушения. Безопасность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совместном применении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фармакокинетическим усилителем (например,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кобицистатом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) не установлена.</w:t>
            </w:r>
          </w:p>
          <w:p w14:paraId="3B00F1A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Это сочетание следует использовать с осторожностью при частом контроле функции почек, если отсутствуют другие варианты лечения (</w:t>
            </w:r>
            <w:r w:rsidR="00F31948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4.4).</w:t>
            </w:r>
          </w:p>
        </w:tc>
      </w:tr>
      <w:tr w:rsidR="00C727BE" w:rsidRPr="00704FB4" w14:paraId="6ECA46D6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6DCF6EB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Ледипасвир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</w:p>
          <w:p w14:paraId="49D88C5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(90 мг/400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138E037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Эфавиренз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4A269AE1" w14:textId="55080325" w:rsidR="0003407C" w:rsidRPr="00704FB4" w:rsidRDefault="0003407C" w:rsidP="0067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(600 мг/200 мг/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4610969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56EB59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34 % (↓ 41–↓ 25)</w:t>
            </w:r>
          </w:p>
          <w:p w14:paraId="0339304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34 % (↓ 41–↑ 25)</w:t>
            </w:r>
          </w:p>
          <w:p w14:paraId="43FF00F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34 % (↓ 43–↑ 24)</w:t>
            </w:r>
          </w:p>
          <w:p w14:paraId="28D5F64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354EE4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5C45413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7E4337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896936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03A19AF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9C34A6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40931C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Эфавиренз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FC6434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2410D5C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4E660C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51A92B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77A948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4A1AF8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9D8954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74E2C11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A159CF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98 % (↑ 77–↑ 123)</w:t>
            </w:r>
          </w:p>
          <w:p w14:paraId="6A32957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79 % (↑ 56–↑ 104)</w:t>
            </w:r>
          </w:p>
          <w:p w14:paraId="319C5D0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163 % (↑ 137–↑ 197)</w:t>
            </w:r>
          </w:p>
        </w:tc>
        <w:tc>
          <w:tcPr>
            <w:tcW w:w="1627" w:type="pct"/>
          </w:tcPr>
          <w:p w14:paraId="56AABAB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Коррекция дозы не требуется. Повышение экспозиции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почечные нарушения. Следует тщательно следить за функцией почек (</w:t>
            </w:r>
            <w:r w:rsidR="00AF7550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4.4).</w:t>
            </w:r>
          </w:p>
        </w:tc>
      </w:tr>
      <w:tr w:rsidR="00C727BE" w:rsidRPr="00704FB4" w14:paraId="2083CA4C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610C74B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</w:p>
          <w:p w14:paraId="35E60C1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(90 мг/400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5569802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Рилпивирин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4B6636CD" w14:textId="17A9BBC8" w:rsidR="0003407C" w:rsidRPr="00704FB4" w:rsidRDefault="0003407C" w:rsidP="0067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(200 мг/25 мг/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2B51402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715C37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48F7D29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657C7F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509E72D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9A9945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29AC20A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4B6D5AB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D3F0E1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370BF40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09E67F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80684D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D23AC8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0C9DE71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0B764E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6A6BBF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Рилпивирин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851E7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4EED7B4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79EAB9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D2A333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6FBEA5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40 % (↑ 31–↑ 50)</w:t>
            </w:r>
          </w:p>
          <w:p w14:paraId="095A2DA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3971B6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91 % (↑ 74–↑ 110)</w:t>
            </w:r>
          </w:p>
        </w:tc>
        <w:tc>
          <w:tcPr>
            <w:tcW w:w="1627" w:type="pct"/>
          </w:tcPr>
          <w:p w14:paraId="37039BF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дозы не рекомендуется. Повышение экспозиции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почечные нарушения. Следует тщательно следить за функцией почек (</w:t>
            </w:r>
            <w:r w:rsidR="00AF7550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4.4).</w:t>
            </w:r>
          </w:p>
        </w:tc>
      </w:tr>
      <w:tr w:rsidR="00C727BE" w:rsidRPr="00704FB4" w14:paraId="66D6BE52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7AF47E7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</w:p>
          <w:p w14:paraId="10A5095B" w14:textId="3AF3D06A" w:rsidR="0003407C" w:rsidRPr="00704FB4" w:rsidRDefault="0003407C" w:rsidP="0067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(90 мг/400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+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Долутегравир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(50 мг</w:t>
            </w:r>
            <w:r w:rsidR="00F97911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+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(200 мг/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2664A56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E2B175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562C6A0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0EBA81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B9D551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0DD7786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1E31F8D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7E23C3D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Ледипасвир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D1C0AD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77D95CF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8D0F8D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3E6A95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Долутегравир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2FC588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15DC598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4162816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7B0A461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42F069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2B1CB7F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7CAEBF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ECACC5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50D807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AUC: ↑ 65 % (↑ 59–↑ 71)</w:t>
            </w:r>
          </w:p>
          <w:p w14:paraId="4205454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61 % (↑ 51–↑ 72)</w:t>
            </w:r>
          </w:p>
          <w:p w14:paraId="5F402AB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115 % (↑ 105–↑ 126)</w:t>
            </w:r>
          </w:p>
        </w:tc>
        <w:tc>
          <w:tcPr>
            <w:tcW w:w="1627" w:type="pct"/>
          </w:tcPr>
          <w:p w14:paraId="3BB3412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Коррекция дозы не требуется. Повышение экспозиции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почечные нарушения. Следует тщательно следить за функцией почек (</w:t>
            </w:r>
            <w:r w:rsidR="00AF7550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</w:t>
            </w:r>
          </w:p>
        </w:tc>
      </w:tr>
      <w:tr w:rsidR="00C727BE" w:rsidRPr="00704FB4" w14:paraId="4CB47646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57502B2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</w:p>
          <w:p w14:paraId="3993549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64205F1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Атазанавир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</w:p>
          <w:p w14:paraId="48ED17C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4AB6E58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658FF52F" w14:textId="33EC32EF" w:rsidR="0003407C" w:rsidRPr="00704FB4" w:rsidRDefault="0003407C" w:rsidP="0067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(200 мг/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5EBDEC0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715C91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 </w:t>
            </w:r>
          </w:p>
          <w:p w14:paraId="59CFBEA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 </w:t>
            </w:r>
          </w:p>
          <w:p w14:paraId="11D139C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A324F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7CF14F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0E6428C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37CA34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42 % (↑ 37–↑ 49)</w:t>
            </w:r>
          </w:p>
          <w:p w14:paraId="4F91680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5006E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126385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142 % (↑ 123–↑ 164)</w:t>
            </w:r>
          </w:p>
          <w:p w14:paraId="424B583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55 % (↑ 41–↑ 71)</w:t>
            </w:r>
          </w:p>
          <w:p w14:paraId="5F82FE5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301 % (↑ 257–↑ 350)</w:t>
            </w:r>
          </w:p>
          <w:p w14:paraId="3F63D50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EF3DD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Атазанавир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C24169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4F84067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16F8A1A7" w14:textId="15C9EB32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39 </w:t>
            </w:r>
            <w:r w:rsidR="00D35BEB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% (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↑ 20–↑ 61)</w:t>
            </w:r>
          </w:p>
          <w:p w14:paraId="5B5E53C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C066B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C312C2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5577E4C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739095D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29 % (↑ 15–↑ 44)</w:t>
            </w:r>
          </w:p>
          <w:p w14:paraId="0CD2048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00435D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C93271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44E919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535172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0C68C0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BF61C3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55 % (↑ 43–↑ 68)</w:t>
            </w:r>
          </w:p>
          <w:p w14:paraId="5BA45A1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39 % (↑ 31–↑ 48)</w:t>
            </w:r>
          </w:p>
        </w:tc>
        <w:tc>
          <w:tcPr>
            <w:tcW w:w="1627" w:type="pct"/>
          </w:tcPr>
          <w:p w14:paraId="4B22145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концентрации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плазме при совместном введении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атазанавира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почечные нарушения. Безопасность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совместном применении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фармакокинетическим усилителем (например,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</w:t>
            </w:r>
            <w:r w:rsidR="000B56E4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0B56E4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кобицистатом</w:t>
            </w:r>
            <w:proofErr w:type="spellEnd"/>
            <w:r w:rsidR="000B56E4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) не установлена.</w:t>
            </w:r>
          </w:p>
          <w:p w14:paraId="7572B5C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Это сочетание следует использовать с осторожностью при частом контроле функции почек, если отсутствуют другие варианты лечения (</w:t>
            </w:r>
            <w:r w:rsidR="00AF7550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</w:t>
            </w:r>
          </w:p>
        </w:tc>
      </w:tr>
      <w:tr w:rsidR="00C727BE" w:rsidRPr="00704FB4" w14:paraId="63756A21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422A335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</w:p>
          <w:p w14:paraId="67FFAD1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56A08FE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Дарунавир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</w:p>
          <w:p w14:paraId="68BD08A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3702AF7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7D11265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(200 мг/300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15F7C7F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DBF472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28 % (↓ 34–↓ 20)</w:t>
            </w:r>
          </w:p>
          <w:p w14:paraId="0E1905F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38 % (↓ 46–↓ 29)</w:t>
            </w:r>
          </w:p>
          <w:p w14:paraId="7105F4E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90E92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E4E6A7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AUC: ↔</w:t>
            </w:r>
          </w:p>
          <w:p w14:paraId="11565E0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960DD8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541F280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4EB5C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89FB5E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32135F3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24 % (↓ 35–↓ 11)</w:t>
            </w:r>
          </w:p>
          <w:p w14:paraId="2C38FFE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1BDED8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4D244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Дарунавир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074F33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1A416E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F10123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5697571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F5E80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2D3FF8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39FDEE5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5DACC6A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484E196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32A19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C6D4D9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38471EF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1B7C5DC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D263F9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F61277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39 % (↑ 33–↑ 44)</w:t>
            </w:r>
          </w:p>
          <w:p w14:paraId="1D34DEB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55 % (↑ 45–↑ 66)</w:t>
            </w:r>
          </w:p>
          <w:p w14:paraId="1052144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52 % (↑ 45–↑ 59)</w:t>
            </w:r>
          </w:p>
        </w:tc>
        <w:tc>
          <w:tcPr>
            <w:tcW w:w="1627" w:type="pct"/>
          </w:tcPr>
          <w:p w14:paraId="37E118A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концентрации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плазме при совместном введении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дарунавира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может усилить нежелательные реакции на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почечные нарушения. Безопасность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совместном применении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фармакокинетическим усилителем (например,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кобицистатом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) не устано</w:t>
            </w:r>
            <w:r w:rsidR="000B56E4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влена.</w:t>
            </w:r>
          </w:p>
          <w:p w14:paraId="517A7F6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Это сочетание следует использовать с осторожностью при частом контроле функции почек (</w:t>
            </w:r>
            <w:r w:rsidR="00AF7550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</w:t>
            </w:r>
          </w:p>
        </w:tc>
      </w:tr>
      <w:tr w:rsidR="00C727BE" w:rsidRPr="00704FB4" w14:paraId="67030AE1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2A754F2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</w:p>
          <w:p w14:paraId="716B4D5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3C839E5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Lopinavir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</w:p>
          <w:p w14:paraId="205F047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(800 мг/200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783B294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10ABD07B" w14:textId="27539C1B" w:rsidR="0003407C" w:rsidRPr="00704FB4" w:rsidRDefault="0003407C" w:rsidP="0067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(200 мг/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2A69B50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451DBA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29 % (↓ 36–↓ 22)</w:t>
            </w:r>
          </w:p>
          <w:p w14:paraId="43646BE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41 % (↓ 51–↓ 29)</w:t>
            </w:r>
          </w:p>
          <w:p w14:paraId="7E8CA61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CD393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017EF7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314B241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AB3669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F744C4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9E54C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427E14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78F9A85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30 % (↓ 41–↓ 17)</w:t>
            </w:r>
          </w:p>
          <w:p w14:paraId="1CBD26F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63 % (↑ 43–↑ 85)</w:t>
            </w:r>
          </w:p>
          <w:p w14:paraId="1F8CC5A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8724B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Lopinavir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97FE7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1709AC1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91BC32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91B608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51EF7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45C36F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30B67FC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451808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5BDEAC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1E4C5A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407FB76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7EAC413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14FA8F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810C8B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16F00F6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42 % (↑ 27–↑ 57)</w:t>
            </w:r>
          </w:p>
          <w:p w14:paraId="128BF23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</w:tc>
        <w:tc>
          <w:tcPr>
            <w:tcW w:w="1627" w:type="pct"/>
          </w:tcPr>
          <w:p w14:paraId="1DD7A489" w14:textId="77777777" w:rsidR="009B50DE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концентрации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плазме при совместном введении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лопинавира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почечные нарушения. Безопасность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совместном применении с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B56E4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фармакокинетическим усилителем (например,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ритонавиром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</w:t>
            </w:r>
            <w:r w:rsidR="009B50DE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9B50DE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кобицистатом</w:t>
            </w:r>
            <w:proofErr w:type="spellEnd"/>
            <w:r w:rsidR="009B50DE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) не установлена.</w:t>
            </w:r>
          </w:p>
          <w:p w14:paraId="74CFE7F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Это сочетание следует использовать с осторожностью пр</w:t>
            </w:r>
            <w:r w:rsidR="00D03782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и частом контроле функции почек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D03782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4.4).</w:t>
            </w:r>
          </w:p>
        </w:tc>
      </w:tr>
      <w:tr w:rsidR="00C727BE" w:rsidRPr="00704FB4" w14:paraId="37D0B739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7AC5484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</w:p>
          <w:p w14:paraId="7D71E2B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15147A0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Ралтегравир</w:t>
            </w:r>
            <w:proofErr w:type="spellEnd"/>
          </w:p>
          <w:p w14:paraId="4D9B154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b.i.d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) +</w:t>
            </w:r>
          </w:p>
          <w:p w14:paraId="518BDC0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7D84917E" w14:textId="7AC9E152" w:rsidR="0003407C" w:rsidRPr="00704FB4" w:rsidRDefault="0003407C" w:rsidP="0067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(200 мг/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300 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61CE7B4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95BE08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4C097E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4B90F12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2805CC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1732E0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1ABAB60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7E6672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D0F8AD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484D83B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0C2CCC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C36210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Ралтегравир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39E726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098616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50DD101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21 % (↓ 58–↑ 48)</w:t>
            </w:r>
          </w:p>
          <w:p w14:paraId="4BBF4F9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55D631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AB05B2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AA4C3A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DF390A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401111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40 % (↑ 34–↑ 45)</w:t>
            </w:r>
          </w:p>
          <w:p w14:paraId="27FA531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46 % (↑ 39–↑ 54)</w:t>
            </w:r>
          </w:p>
          <w:p w14:paraId="49524CC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70 % (↑ 61–↑ 79)</w:t>
            </w:r>
          </w:p>
        </w:tc>
        <w:tc>
          <w:tcPr>
            <w:tcW w:w="1627" w:type="pct"/>
          </w:tcPr>
          <w:p w14:paraId="7557792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дозы не рекомендуется. Повышение экспозиции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почечные нарушения. Следует тщательно следить за функцией почек (</w:t>
            </w:r>
            <w:r w:rsidR="00D03782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4.4).</w:t>
            </w:r>
          </w:p>
        </w:tc>
      </w:tr>
      <w:tr w:rsidR="00C727BE" w:rsidRPr="00704FB4" w14:paraId="0FCC6FF1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5D11D38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</w:p>
          <w:p w14:paraId="0FEDE43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34593F4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Эфавиренз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5EDDD8E4" w14:textId="086F3DA9" w:rsidR="0003407C" w:rsidRPr="00704FB4" w:rsidRDefault="0003407C" w:rsidP="0067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(600 мг/200 мг/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7FD688F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450E89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0EF7845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38 % (↑ 14–↑ 67)</w:t>
            </w:r>
          </w:p>
          <w:p w14:paraId="489D63E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90FAF9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49D0706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5C73ED0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65879A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3F2B1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53 % (↓ 61–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↓ 43)</w:t>
            </w:r>
          </w:p>
          <w:p w14:paraId="716613F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47 % (↓ 57–↓ 36)</w:t>
            </w:r>
          </w:p>
          <w:p w14:paraId="74198E9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57 % (↓ 64–↓ 48)</w:t>
            </w:r>
          </w:p>
          <w:p w14:paraId="137F8A2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Эфавиренз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EE2B6A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7A870ED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A525CC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4BEEB9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B60751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5E77E10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3800607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181CBC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72CE7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81 % (↑ 68–↑ 94)</w:t>
            </w:r>
          </w:p>
          <w:p w14:paraId="2E67377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77 % (↑ 53–↑ 104)</w:t>
            </w:r>
          </w:p>
          <w:p w14:paraId="48C6E6C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121 % (↑ 100–↑ 143)</w:t>
            </w:r>
          </w:p>
        </w:tc>
        <w:tc>
          <w:tcPr>
            <w:tcW w:w="1627" w:type="pct"/>
          </w:tcPr>
          <w:p w14:paraId="1191573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lastRenderedPageBreak/>
              <w:t xml:space="preserve">Совместное применение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>софосбувира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>велпатасвира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 xml:space="preserve"> 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>эфавиренза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 xml:space="preserve"> может снизить концентрацию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>велпатасвира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 xml:space="preserve"> в плазме. Совместное применение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>софосбувира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>велпатасвира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 xml:space="preserve"> и схем, содержащих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>эфавиренз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eastAsia="fr-FR"/>
              </w:rPr>
              <w:t>, не рекомендуется.</w:t>
            </w:r>
          </w:p>
        </w:tc>
      </w:tr>
      <w:tr w:rsidR="00C727BE" w:rsidRPr="00704FB4" w14:paraId="29C24B9B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30EF2D8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</w:p>
          <w:p w14:paraId="62B301C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(400 мг/100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0858897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Рилпивирин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479F317D" w14:textId="5EC6B53E" w:rsidR="0003407C" w:rsidRPr="00704FB4" w:rsidRDefault="0003407C" w:rsidP="00671A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(200 мг/25 мг/</w:t>
            </w:r>
            <w:r w:rsidR="00671AE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413A614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7B2A49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1B61908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8F3143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05B552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7ADE847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458CDE9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4843149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Велпатасвир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07A2D1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7A1FA5D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2B29F99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4587FE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22F924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060C04C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161F8B8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53396A7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Рилпивирин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CB6A46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5CD2A2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AD7F3B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19AE690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2FF594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40 % (↑ 34–↑ 46)</w:t>
            </w:r>
          </w:p>
          <w:p w14:paraId="2910D3A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44 % (↑ 33–↑ 55)</w:t>
            </w:r>
          </w:p>
          <w:p w14:paraId="0595A0B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84 % (↑ 76–↑ 92)</w:t>
            </w:r>
          </w:p>
        </w:tc>
        <w:tc>
          <w:tcPr>
            <w:tcW w:w="1627" w:type="pct"/>
          </w:tcPr>
          <w:p w14:paraId="5843528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fr-FR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дозы не рекомендуется. Повышение экспозиции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усилить нежелательные реакции на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почечные нарушения. Следует тщательно следить за функцией почек (</w:t>
            </w:r>
            <w:r w:rsidR="00067E47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см. раздел 4.4).</w:t>
            </w:r>
          </w:p>
        </w:tc>
      </w:tr>
      <w:tr w:rsidR="001A5BAA" w:rsidRPr="00704FB4" w14:paraId="0BC1BC42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1DDB3A20" w14:textId="77777777" w:rsidR="001A5BAA" w:rsidRPr="00704FB4" w:rsidRDefault="00067E47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Софосбувир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Велпатасвир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Воксилапревир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(400 мг/100 мг/ 100 мг+100 мг</w:t>
            </w:r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q.d</w:t>
            </w:r>
            <w:proofErr w:type="spellEnd"/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+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Дарунавир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(800 мг</w:t>
            </w:r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q.d</w:t>
            </w:r>
            <w:proofErr w:type="spellEnd"/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.) 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+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Ритонавир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(100 мг</w:t>
            </w:r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.) +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Эмтрицитабин</w:t>
            </w:r>
            <w:proofErr w:type="spellEnd"/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дизопроксила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фумарат</w:t>
            </w:r>
            <w:proofErr w:type="spellEnd"/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(200 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мг/300</w:t>
            </w:r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мг</w:t>
            </w:r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</w:t>
            </w:r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="001A5BAA"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7E5195AB" w14:textId="77777777" w:rsidR="001A5BAA" w:rsidRPr="00704FB4" w:rsidRDefault="00067E47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</w:rPr>
              <w:lastRenderedPageBreak/>
              <w:t>Софосбувир</w:t>
            </w:r>
            <w:proofErr w:type="spellEnd"/>
            <w:r w:rsidR="001A5BAA" w:rsidRPr="00704FB4">
              <w:rPr>
                <w:color w:val="000000"/>
              </w:rPr>
              <w:t>:</w:t>
            </w:r>
          </w:p>
          <w:p w14:paraId="1AE7BC3B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FB4">
              <w:rPr>
                <w:color w:val="000000"/>
                <w:lang w:val="en-US"/>
              </w:rPr>
              <w:t>AUC</w:t>
            </w:r>
            <w:r w:rsidRPr="00704FB4">
              <w:rPr>
                <w:color w:val="000000"/>
              </w:rPr>
              <w:t>: ↔</w:t>
            </w:r>
          </w:p>
          <w:p w14:paraId="472CE7B1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</w:rPr>
              <w:t>: ↓ 30%</w:t>
            </w:r>
          </w:p>
          <w:p w14:paraId="20C15D59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</w:rPr>
              <w:t xml:space="preserve">: </w:t>
            </w:r>
            <w:r w:rsidRPr="00704FB4">
              <w:rPr>
                <w:color w:val="000000"/>
                <w:lang w:val="en-US"/>
              </w:rPr>
              <w:t>N</w:t>
            </w:r>
            <w:r w:rsidRPr="00704FB4">
              <w:rPr>
                <w:color w:val="000000"/>
              </w:rPr>
              <w:t>/</w:t>
            </w:r>
            <w:r w:rsidRPr="00704FB4">
              <w:rPr>
                <w:color w:val="000000"/>
                <w:lang w:val="en-US"/>
              </w:rPr>
              <w:t>A</w:t>
            </w:r>
          </w:p>
          <w:p w14:paraId="3526F653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GS-331007</w:t>
            </w:r>
            <w:r w:rsidRPr="00704FB4">
              <w:rPr>
                <w:color w:val="000000"/>
                <w:vertAlign w:val="superscript"/>
                <w:lang w:val="en-US"/>
              </w:rPr>
              <w:t>2</w:t>
            </w:r>
            <w:r w:rsidRPr="00704FB4">
              <w:rPr>
                <w:color w:val="000000"/>
                <w:lang w:val="en-US"/>
              </w:rPr>
              <w:t>:</w:t>
            </w:r>
          </w:p>
          <w:p w14:paraId="32C4A392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↔</w:t>
            </w:r>
          </w:p>
          <w:p w14:paraId="3CC3F493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lastRenderedPageBreak/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:↔</w:t>
            </w:r>
          </w:p>
          <w:p w14:paraId="448A91C1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N/A</w:t>
            </w:r>
          </w:p>
          <w:p w14:paraId="1306779A" w14:textId="77777777" w:rsidR="001A5BAA" w:rsidRPr="00704FB4" w:rsidRDefault="00067E47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</w:rPr>
              <w:t>Велпатасвир</w:t>
            </w:r>
            <w:proofErr w:type="spellEnd"/>
            <w:r w:rsidR="001A5BAA" w:rsidRPr="00704FB4">
              <w:rPr>
                <w:color w:val="000000"/>
                <w:lang w:val="en-US"/>
              </w:rPr>
              <w:t>:</w:t>
            </w:r>
          </w:p>
          <w:p w14:paraId="7A27044B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↔</w:t>
            </w:r>
          </w:p>
          <w:p w14:paraId="45DC97AC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3AB38703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144F5CA7" w14:textId="77777777" w:rsidR="001A5BAA" w:rsidRPr="00704FB4" w:rsidRDefault="00067E47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</w:rPr>
              <w:t>Воксилапревир</w:t>
            </w:r>
            <w:proofErr w:type="spellEnd"/>
            <w:r w:rsidR="001A5BAA" w:rsidRPr="00704FB4">
              <w:rPr>
                <w:color w:val="000000"/>
                <w:lang w:val="en-US"/>
              </w:rPr>
              <w:t>:</w:t>
            </w:r>
          </w:p>
          <w:p w14:paraId="43A22EFC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↑ 143%</w:t>
            </w:r>
          </w:p>
          <w:p w14:paraId="3FF15BDA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:↑ 72%</w:t>
            </w:r>
          </w:p>
          <w:p w14:paraId="295DA006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↑ 300%</w:t>
            </w:r>
          </w:p>
          <w:p w14:paraId="07D0DA41" w14:textId="77777777" w:rsidR="001A5BAA" w:rsidRPr="00704FB4" w:rsidRDefault="00067E47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</w:rPr>
              <w:t>Дарунавир</w:t>
            </w:r>
            <w:proofErr w:type="spellEnd"/>
            <w:r w:rsidR="001A5BAA" w:rsidRPr="00704FB4">
              <w:rPr>
                <w:color w:val="000000"/>
                <w:lang w:val="en-US"/>
              </w:rPr>
              <w:t>:</w:t>
            </w:r>
          </w:p>
          <w:p w14:paraId="72519B72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↔</w:t>
            </w:r>
          </w:p>
          <w:p w14:paraId="3FC54838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0E706417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↓ 34%</w:t>
            </w:r>
          </w:p>
          <w:p w14:paraId="08BC6E5F" w14:textId="77777777" w:rsidR="001A5BAA" w:rsidRPr="00704FB4" w:rsidRDefault="00067E47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</w:rPr>
              <w:t>Ритонавир</w:t>
            </w:r>
            <w:proofErr w:type="spellEnd"/>
            <w:r w:rsidR="001A5BAA" w:rsidRPr="00704FB4">
              <w:rPr>
                <w:color w:val="000000"/>
                <w:lang w:val="en-US"/>
              </w:rPr>
              <w:t>:</w:t>
            </w:r>
          </w:p>
          <w:p w14:paraId="3FE2E5D7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↑ 45%</w:t>
            </w:r>
          </w:p>
          <w:p w14:paraId="7E982CD6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 ↑ 60%</w:t>
            </w:r>
          </w:p>
          <w:p w14:paraId="2EFD15BD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3E37C136" w14:textId="77777777" w:rsidR="001A5BAA" w:rsidRPr="00704FB4" w:rsidRDefault="00067E47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</w:rPr>
              <w:t>Эмтрицитабин</w:t>
            </w:r>
            <w:proofErr w:type="spellEnd"/>
            <w:r w:rsidR="001A5BAA" w:rsidRPr="00704FB4">
              <w:rPr>
                <w:color w:val="000000"/>
                <w:lang w:val="en-US"/>
              </w:rPr>
              <w:t>:</w:t>
            </w:r>
          </w:p>
          <w:p w14:paraId="7BFC0E61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704FB4">
              <w:rPr>
                <w:color w:val="000000"/>
                <w:lang w:val="en-US"/>
              </w:rPr>
              <w:t>AUC: ↔</w:t>
            </w:r>
          </w:p>
          <w:p w14:paraId="0FC0904F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696CDDEB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spellStart"/>
            <w:r w:rsidRPr="00704FB4">
              <w:rPr>
                <w:color w:val="000000"/>
                <w:lang w:val="en-US"/>
              </w:rPr>
              <w:t>C</w:t>
            </w:r>
            <w:r w:rsidRPr="00704FB4">
              <w:rPr>
                <w:color w:val="000000"/>
                <w:vertAlign w:val="subscript"/>
                <w:lang w:val="en-US"/>
              </w:rPr>
              <w:t>min</w:t>
            </w:r>
            <w:proofErr w:type="spellEnd"/>
            <w:r w:rsidRPr="00704FB4">
              <w:rPr>
                <w:color w:val="000000"/>
                <w:lang w:val="en-US"/>
              </w:rPr>
              <w:t>: ↔</w:t>
            </w:r>
          </w:p>
          <w:p w14:paraId="108A7B8E" w14:textId="77777777" w:rsidR="001A5BAA" w:rsidRPr="00704FB4" w:rsidRDefault="00067E47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</w:rPr>
              <w:t>Тенофовир</w:t>
            </w:r>
            <w:proofErr w:type="spellEnd"/>
            <w:r w:rsidR="001A5BAA" w:rsidRPr="00704FB4">
              <w:rPr>
                <w:color w:val="000000"/>
              </w:rPr>
              <w:t>:</w:t>
            </w:r>
          </w:p>
          <w:p w14:paraId="2BB2C1BE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FB4">
              <w:rPr>
                <w:color w:val="000000"/>
              </w:rPr>
              <w:t>AUC: ↑ 39%</w:t>
            </w:r>
          </w:p>
          <w:p w14:paraId="03BF509F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</w:rPr>
              <w:t>C</w:t>
            </w:r>
            <w:r w:rsidRPr="00704FB4">
              <w:rPr>
                <w:color w:val="000000"/>
                <w:vertAlign w:val="subscript"/>
              </w:rPr>
              <w:t>max</w:t>
            </w:r>
            <w:proofErr w:type="spellEnd"/>
            <w:r w:rsidRPr="00704FB4">
              <w:rPr>
                <w:color w:val="000000"/>
              </w:rPr>
              <w:t>: ↑ 48%</w:t>
            </w:r>
          </w:p>
          <w:p w14:paraId="5D8498E2" w14:textId="77777777" w:rsidR="001A5BAA" w:rsidRPr="00704FB4" w:rsidRDefault="001A5BAA" w:rsidP="000713D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04FB4">
              <w:rPr>
                <w:color w:val="000000"/>
              </w:rPr>
              <w:t>C</w:t>
            </w:r>
            <w:r w:rsidRPr="00704FB4">
              <w:rPr>
                <w:color w:val="000000"/>
                <w:vertAlign w:val="subscript"/>
              </w:rPr>
              <w:t>min</w:t>
            </w:r>
            <w:proofErr w:type="spellEnd"/>
            <w:r w:rsidR="00067E47" w:rsidRPr="00704FB4">
              <w:rPr>
                <w:color w:val="000000"/>
              </w:rPr>
              <w:t>: ↑ 47%</w:t>
            </w:r>
          </w:p>
        </w:tc>
        <w:tc>
          <w:tcPr>
            <w:tcW w:w="1627" w:type="pct"/>
          </w:tcPr>
          <w:p w14:paraId="42EA0DFD" w14:textId="77777777" w:rsidR="00EC4BDD" w:rsidRPr="00704FB4" w:rsidRDefault="00EC4BDD" w:rsidP="000713D4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4FB4">
              <w:rPr>
                <w:color w:val="000000"/>
              </w:rPr>
              <w:lastRenderedPageBreak/>
              <w:t xml:space="preserve">Повышенные концентрации </w:t>
            </w:r>
            <w:proofErr w:type="spellStart"/>
            <w:r w:rsidRPr="00704FB4">
              <w:rPr>
                <w:color w:val="000000"/>
              </w:rPr>
              <w:t>тенофовира</w:t>
            </w:r>
            <w:proofErr w:type="spellEnd"/>
            <w:r w:rsidRPr="00704FB4">
              <w:rPr>
                <w:color w:val="000000"/>
              </w:rPr>
              <w:t xml:space="preserve"> в плазме в результате совместного введения </w:t>
            </w:r>
            <w:proofErr w:type="spellStart"/>
            <w:r w:rsidRPr="00704FB4">
              <w:rPr>
                <w:color w:val="000000"/>
              </w:rPr>
              <w:t>тенофовира</w:t>
            </w:r>
            <w:proofErr w:type="spellEnd"/>
            <w:r w:rsidRPr="00704FB4">
              <w:rPr>
                <w:color w:val="000000"/>
              </w:rPr>
              <w:t xml:space="preserve"> </w:t>
            </w:r>
            <w:proofErr w:type="spellStart"/>
            <w:r w:rsidRPr="00704FB4">
              <w:rPr>
                <w:color w:val="000000"/>
              </w:rPr>
              <w:t>дизопроксила</w:t>
            </w:r>
            <w:proofErr w:type="spellEnd"/>
            <w:r w:rsidRPr="00704FB4">
              <w:rPr>
                <w:color w:val="000000"/>
              </w:rPr>
              <w:t xml:space="preserve">, </w:t>
            </w:r>
            <w:proofErr w:type="spellStart"/>
            <w:r w:rsidRPr="00704FB4">
              <w:rPr>
                <w:color w:val="000000"/>
              </w:rPr>
              <w:t>софосбувира</w:t>
            </w:r>
            <w:proofErr w:type="spellEnd"/>
            <w:r w:rsidRPr="00704FB4">
              <w:rPr>
                <w:color w:val="000000"/>
              </w:rPr>
              <w:t xml:space="preserve">/ </w:t>
            </w:r>
            <w:proofErr w:type="spellStart"/>
            <w:r w:rsidRPr="00704FB4">
              <w:rPr>
                <w:color w:val="000000"/>
              </w:rPr>
              <w:lastRenderedPageBreak/>
              <w:t>велпатасвира</w:t>
            </w:r>
            <w:proofErr w:type="spellEnd"/>
            <w:r w:rsidRPr="00704FB4">
              <w:rPr>
                <w:color w:val="000000"/>
              </w:rPr>
              <w:t xml:space="preserve">/ </w:t>
            </w:r>
            <w:proofErr w:type="spellStart"/>
            <w:r w:rsidRPr="00704FB4">
              <w:rPr>
                <w:color w:val="000000"/>
              </w:rPr>
              <w:t>воксилапревира</w:t>
            </w:r>
            <w:proofErr w:type="spellEnd"/>
            <w:r w:rsidRPr="00704FB4">
              <w:rPr>
                <w:color w:val="000000"/>
              </w:rPr>
              <w:t xml:space="preserve"> и </w:t>
            </w:r>
            <w:proofErr w:type="spellStart"/>
            <w:r w:rsidRPr="00704FB4">
              <w:rPr>
                <w:color w:val="000000"/>
              </w:rPr>
              <w:t>дарунавира</w:t>
            </w:r>
            <w:proofErr w:type="spellEnd"/>
            <w:r w:rsidRPr="00704FB4">
              <w:rPr>
                <w:color w:val="000000"/>
              </w:rPr>
              <w:t>/</w:t>
            </w:r>
            <w:proofErr w:type="spellStart"/>
            <w:r w:rsidRPr="00704FB4">
              <w:rPr>
                <w:color w:val="000000"/>
              </w:rPr>
              <w:t>ритонавира</w:t>
            </w:r>
            <w:proofErr w:type="spellEnd"/>
            <w:r w:rsidRPr="00704FB4">
              <w:rPr>
                <w:color w:val="000000"/>
              </w:rPr>
              <w:t xml:space="preserve"> могут усиливать побочные реакции, связанные с </w:t>
            </w:r>
            <w:proofErr w:type="spellStart"/>
            <w:r w:rsidRPr="00704FB4">
              <w:rPr>
                <w:color w:val="000000"/>
              </w:rPr>
              <w:t>тенофовиром</w:t>
            </w:r>
            <w:proofErr w:type="spellEnd"/>
            <w:r w:rsidRPr="00704FB4">
              <w:rPr>
                <w:color w:val="000000"/>
              </w:rPr>
              <w:t xml:space="preserve"> </w:t>
            </w:r>
            <w:proofErr w:type="spellStart"/>
            <w:r w:rsidRPr="00704FB4">
              <w:rPr>
                <w:color w:val="000000"/>
              </w:rPr>
              <w:t>дизопроксилом</w:t>
            </w:r>
            <w:proofErr w:type="spellEnd"/>
            <w:r w:rsidRPr="00704FB4">
              <w:rPr>
                <w:color w:val="000000"/>
              </w:rPr>
              <w:t xml:space="preserve">, включая нарушения функции почек. Безопасность </w:t>
            </w:r>
            <w:proofErr w:type="spellStart"/>
            <w:r w:rsidRPr="00704FB4">
              <w:rPr>
                <w:color w:val="000000"/>
              </w:rPr>
              <w:t>тенофовира</w:t>
            </w:r>
            <w:proofErr w:type="spellEnd"/>
            <w:r w:rsidRPr="00704FB4">
              <w:rPr>
                <w:color w:val="000000"/>
              </w:rPr>
              <w:t xml:space="preserve"> </w:t>
            </w:r>
            <w:proofErr w:type="spellStart"/>
            <w:r w:rsidRPr="00704FB4">
              <w:rPr>
                <w:color w:val="000000"/>
              </w:rPr>
              <w:t>дизопроксила</w:t>
            </w:r>
            <w:proofErr w:type="spellEnd"/>
            <w:r w:rsidRPr="00704FB4">
              <w:rPr>
                <w:color w:val="000000"/>
              </w:rPr>
              <w:t xml:space="preserve"> при использовании с </w:t>
            </w:r>
            <w:proofErr w:type="spellStart"/>
            <w:r w:rsidRPr="00704FB4">
              <w:rPr>
                <w:color w:val="000000"/>
              </w:rPr>
              <w:t>софосбувиром</w:t>
            </w:r>
            <w:proofErr w:type="spellEnd"/>
            <w:r w:rsidRPr="00704FB4">
              <w:rPr>
                <w:color w:val="000000"/>
              </w:rPr>
              <w:t xml:space="preserve">/ </w:t>
            </w:r>
            <w:proofErr w:type="spellStart"/>
            <w:r w:rsidRPr="00704FB4">
              <w:rPr>
                <w:color w:val="000000"/>
              </w:rPr>
              <w:t>велпатасвиром</w:t>
            </w:r>
            <w:proofErr w:type="spellEnd"/>
            <w:r w:rsidRPr="00704FB4">
              <w:rPr>
                <w:color w:val="000000"/>
              </w:rPr>
              <w:t xml:space="preserve">/ </w:t>
            </w:r>
            <w:proofErr w:type="spellStart"/>
            <w:r w:rsidRPr="00704FB4">
              <w:rPr>
                <w:color w:val="000000"/>
              </w:rPr>
              <w:t>воксилапревиром</w:t>
            </w:r>
            <w:proofErr w:type="spellEnd"/>
            <w:r w:rsidRPr="00704FB4">
              <w:rPr>
                <w:color w:val="000000"/>
              </w:rPr>
              <w:t xml:space="preserve"> и фармакокинетическим энхансером (например, </w:t>
            </w:r>
            <w:proofErr w:type="spellStart"/>
            <w:r w:rsidRPr="00704FB4">
              <w:rPr>
                <w:color w:val="000000"/>
              </w:rPr>
              <w:t>ритонавиром</w:t>
            </w:r>
            <w:proofErr w:type="spellEnd"/>
            <w:r w:rsidRPr="00704FB4">
              <w:rPr>
                <w:color w:val="000000"/>
              </w:rPr>
              <w:t xml:space="preserve"> или </w:t>
            </w:r>
            <w:proofErr w:type="spellStart"/>
            <w:r w:rsidRPr="00704FB4">
              <w:rPr>
                <w:color w:val="000000"/>
              </w:rPr>
              <w:t>кобицистатом</w:t>
            </w:r>
            <w:proofErr w:type="spellEnd"/>
            <w:r w:rsidRPr="00704FB4">
              <w:rPr>
                <w:color w:val="000000"/>
              </w:rPr>
              <w:t>) не была установлена.</w:t>
            </w:r>
          </w:p>
          <w:p w14:paraId="28276E5D" w14:textId="77777777" w:rsidR="001A5BAA" w:rsidRPr="00704FB4" w:rsidRDefault="00EC4BDD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Следует тщательно следить за функцией почек (см. раздел 4.4).</w:t>
            </w:r>
          </w:p>
        </w:tc>
      </w:tr>
      <w:tr w:rsidR="00C727BE" w:rsidRPr="00704FB4" w14:paraId="7619E290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225FD49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Софосбувир</w:t>
            </w:r>
            <w:proofErr w:type="spellEnd"/>
          </w:p>
          <w:p w14:paraId="516C846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(400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мг 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 +</w:t>
            </w:r>
          </w:p>
          <w:p w14:paraId="4B20E09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Эфавиренз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  <w:p w14:paraId="475544B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(600 мг/200 мг/300 мг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q.d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2D3A195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Софосбувир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8EAF7E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5935DFF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19 % (↓ 40–↑ 10)</w:t>
            </w:r>
          </w:p>
          <w:p w14:paraId="02DEE32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GS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331007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BBCF46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5AF91E3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23 % (↓ 30–↑ 16)</w:t>
            </w:r>
          </w:p>
          <w:p w14:paraId="2207F13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Эфавиренз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5BD229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3E4FEB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30D19C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08A3034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0C234D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6571880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4F7C344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  <w:p w14:paraId="6AEF844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1B27FD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↔</w:t>
            </w:r>
          </w:p>
          <w:p w14:paraId="37E04D0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25 % (↑ 8–↑ 45)</w:t>
            </w:r>
          </w:p>
          <w:p w14:paraId="32F7D62B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↔</w:t>
            </w:r>
          </w:p>
        </w:tc>
        <w:tc>
          <w:tcPr>
            <w:tcW w:w="1627" w:type="pct"/>
          </w:tcPr>
          <w:p w14:paraId="68E00B2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дозы не требуется.</w:t>
            </w:r>
          </w:p>
        </w:tc>
      </w:tr>
      <w:tr w:rsidR="00C727BE" w:rsidRPr="00704FB4" w14:paraId="1D9156E1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5A159C0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Рибавирин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0A0ECF9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Рибавирин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53DDB8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26 % (↑ 20–↑ 32)</w:t>
            </w:r>
          </w:p>
          <w:p w14:paraId="611B621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5 % (↓ 11–↑ 1)</w:t>
            </w:r>
          </w:p>
          <w:p w14:paraId="728F186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</w:tc>
        <w:tc>
          <w:tcPr>
            <w:tcW w:w="1627" w:type="pct"/>
            <w:tcBorders>
              <w:top w:val="single" w:sz="4" w:space="0" w:color="auto"/>
              <w:bottom w:val="single" w:sz="4" w:space="0" w:color="auto"/>
            </w:tcBorders>
          </w:tcPr>
          <w:p w14:paraId="76A7C72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Коррекция дозы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рибавирина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требуется.</w:t>
            </w:r>
          </w:p>
        </w:tc>
      </w:tr>
      <w:tr w:rsidR="0003407C" w:rsidRPr="00704FB4" w14:paraId="0DD2E49F" w14:textId="77777777" w:rsidTr="00B30272">
        <w:tc>
          <w:tcPr>
            <w:tcW w:w="49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BEB28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Средства, действующие на вирус герпеса</w:t>
            </w:r>
          </w:p>
        </w:tc>
      </w:tr>
      <w:tr w:rsidR="00C727BE" w:rsidRPr="00704FB4" w14:paraId="4ABA3F94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6E994EA6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Фамцикловир/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0A6B1A9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Фамцикловир:</w:t>
            </w:r>
          </w:p>
          <w:p w14:paraId="49E6BB4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9 % (↓ 16–↓ 1)</w:t>
            </w:r>
          </w:p>
          <w:p w14:paraId="33ABC97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7 % (↓ 22–↑ 11)</w:t>
            </w:r>
          </w:p>
          <w:p w14:paraId="605CD44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  <w:p w14:paraId="6448F09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4315F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1AF872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7 % (↓ 13–↓ 1)</w:t>
            </w:r>
          </w:p>
          <w:p w14:paraId="75E0500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11 % (↓ 20–↑ 1)</w:t>
            </w:r>
          </w:p>
          <w:p w14:paraId="396C438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</w:tc>
        <w:tc>
          <w:tcPr>
            <w:tcW w:w="1627" w:type="pct"/>
            <w:tcBorders>
              <w:top w:val="single" w:sz="4" w:space="0" w:color="auto"/>
              <w:bottom w:val="single" w:sz="4" w:space="0" w:color="auto"/>
            </w:tcBorders>
          </w:tcPr>
          <w:p w14:paraId="0966E05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дозы фамцикловира не требуется.</w:t>
            </w:r>
          </w:p>
        </w:tc>
      </w:tr>
      <w:tr w:rsidR="0003407C" w:rsidRPr="00704FB4" w14:paraId="57B18D76" w14:textId="77777777" w:rsidTr="00B30272">
        <w:tblPrEx>
          <w:tblLook w:val="0000" w:firstRow="0" w:lastRow="0" w:firstColumn="0" w:lastColumn="0" w:noHBand="0" w:noVBand="0"/>
        </w:tblPrEx>
        <w:tc>
          <w:tcPr>
            <w:tcW w:w="4996" w:type="pct"/>
            <w:gridSpan w:val="3"/>
          </w:tcPr>
          <w:p w14:paraId="6625EAE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Противомикобактериальные</w:t>
            </w:r>
            <w:proofErr w:type="spellEnd"/>
          </w:p>
        </w:tc>
      </w:tr>
      <w:tr w:rsidR="00C727BE" w:rsidRPr="00704FB4" w14:paraId="602CAF18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518CD72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Рифампицин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2326297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1091B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12 % (↓ 16–↓ 8)</w:t>
            </w:r>
          </w:p>
          <w:p w14:paraId="38B3062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16 % (↓ 22–↓ 10)</w:t>
            </w:r>
          </w:p>
          <w:p w14:paraId="46FEE20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15 % (↓ 12–↓ 9)</w:t>
            </w:r>
          </w:p>
        </w:tc>
        <w:tc>
          <w:tcPr>
            <w:tcW w:w="1627" w:type="pct"/>
            <w:tcBorders>
              <w:top w:val="single" w:sz="4" w:space="0" w:color="auto"/>
              <w:bottom w:val="single" w:sz="4" w:space="0" w:color="auto"/>
            </w:tcBorders>
          </w:tcPr>
          <w:p w14:paraId="3B30F4D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дозы не требуется.</w:t>
            </w:r>
          </w:p>
        </w:tc>
      </w:tr>
      <w:tr w:rsidR="0003407C" w:rsidRPr="00704FB4" w14:paraId="75B7096F" w14:textId="77777777" w:rsidTr="00B30272">
        <w:tblPrEx>
          <w:tblLook w:val="0000" w:firstRow="0" w:lastRow="0" w:firstColumn="0" w:lastColumn="0" w:noHBand="0" w:noVBand="0"/>
        </w:tblPrEx>
        <w:tc>
          <w:tcPr>
            <w:tcW w:w="4996" w:type="pct"/>
            <w:gridSpan w:val="3"/>
          </w:tcPr>
          <w:p w14:paraId="2D461C4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ПЕРОРАЛЬНЫЕ КОНТРАЦЕПТИВЫ</w:t>
            </w:r>
          </w:p>
        </w:tc>
      </w:tr>
      <w:tr w:rsidR="00C727BE" w:rsidRPr="00704FB4" w14:paraId="616E6738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09F1D20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Норгестимат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/Этинилэстрадиол/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1D12FCD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Норгестимат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C7A4A3F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4 % (↓ 32–↑ 34)</w:t>
            </w:r>
          </w:p>
          <w:p w14:paraId="7A7F4F0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5 % (↓ 27–↑ 24)</w:t>
            </w:r>
          </w:p>
          <w:p w14:paraId="0108321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  <w:p w14:paraId="32764EC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B931D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Этинилэстрадиол:</w:t>
            </w:r>
          </w:p>
          <w:p w14:paraId="7EBABD24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4 % (↓ 9–↑ 0)</w:t>
            </w:r>
          </w:p>
          <w:p w14:paraId="5CF70C2E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6 % (↓ 13–↑ 0)</w:t>
            </w:r>
          </w:p>
          <w:p w14:paraId="0C9B358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 2 % (↓ 9–↑ 6)</w:t>
            </w:r>
          </w:p>
        </w:tc>
        <w:tc>
          <w:tcPr>
            <w:tcW w:w="1627" w:type="pct"/>
            <w:tcBorders>
              <w:top w:val="single" w:sz="4" w:space="0" w:color="auto"/>
              <w:bottom w:val="single" w:sz="4" w:space="0" w:color="auto"/>
            </w:tcBorders>
          </w:tcPr>
          <w:p w14:paraId="3961365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Коррекци</w:t>
            </w:r>
            <w:r w:rsidR="000B56E4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дозы </w:t>
            </w:r>
            <w:proofErr w:type="spellStart"/>
            <w:r w:rsidR="000B56E4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норгестимата</w:t>
            </w:r>
            <w:proofErr w:type="spellEnd"/>
            <w:r w:rsidR="000B56E4"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/этинилэстра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диола не требуется.</w:t>
            </w:r>
          </w:p>
        </w:tc>
      </w:tr>
      <w:tr w:rsidR="0003407C" w:rsidRPr="00704FB4" w14:paraId="74F293A6" w14:textId="77777777" w:rsidTr="00B30272">
        <w:tblPrEx>
          <w:tblLook w:val="0000" w:firstRow="0" w:lastRow="0" w:firstColumn="0" w:lastColumn="0" w:noHBand="0" w:noVBand="0"/>
        </w:tblPrEx>
        <w:tc>
          <w:tcPr>
            <w:tcW w:w="4996" w:type="pct"/>
            <w:gridSpan w:val="3"/>
          </w:tcPr>
          <w:p w14:paraId="637AB159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ИММУНОДЕПРЕССАНТЫ</w:t>
            </w:r>
          </w:p>
        </w:tc>
      </w:tr>
      <w:tr w:rsidR="00C727BE" w:rsidRPr="00704FB4" w14:paraId="132EA963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19172BD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Такролимус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28FA67C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Такролимус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96BCA0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4 % (↓ 3–↑ 11)</w:t>
            </w:r>
          </w:p>
          <w:p w14:paraId="27326A1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3 % (↓ 3–↑ 9)</w:t>
            </w:r>
          </w:p>
          <w:p w14:paraId="541D2F1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  <w:p w14:paraId="7EA3DE9D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FA030C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↓ 5 % (↓ 9–↓ 1)</w:t>
            </w:r>
          </w:p>
          <w:p w14:paraId="6F7B68E7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↓ 11 % (↓ 17–↓ 5)</w:t>
            </w:r>
          </w:p>
          <w:p w14:paraId="6C744B72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  <w:p w14:paraId="447F330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D63D1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Тенофовир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BF233C8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6 % (↓ 1–↑ 13)</w:t>
            </w:r>
          </w:p>
          <w:p w14:paraId="75B961BC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↑13 % (↑ 1–↑ 27)</w:t>
            </w:r>
          </w:p>
          <w:p w14:paraId="63E76095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</w:tc>
        <w:tc>
          <w:tcPr>
            <w:tcW w:w="1627" w:type="pct"/>
            <w:tcBorders>
              <w:top w:val="single" w:sz="4" w:space="0" w:color="auto"/>
              <w:bottom w:val="single" w:sz="4" w:space="0" w:color="auto"/>
            </w:tcBorders>
          </w:tcPr>
          <w:p w14:paraId="3E711490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Коррекция дозы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такролимуса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требуется.</w:t>
            </w:r>
          </w:p>
        </w:tc>
      </w:tr>
      <w:tr w:rsidR="0003407C" w:rsidRPr="00704FB4" w14:paraId="26EFD34A" w14:textId="77777777" w:rsidTr="00B30272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996" w:type="pct"/>
            <w:gridSpan w:val="3"/>
          </w:tcPr>
          <w:p w14:paraId="002502FA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НАРКОТИЧЕСКИЕ АНАЛЬГЕТИКИ</w:t>
            </w:r>
          </w:p>
        </w:tc>
      </w:tr>
      <w:tr w:rsidR="00C727BE" w:rsidRPr="00704FB4" w14:paraId="22DD3422" w14:textId="77777777" w:rsidTr="00B30272">
        <w:tc>
          <w:tcPr>
            <w:tcW w:w="2181" w:type="pct"/>
            <w:tcBorders>
              <w:top w:val="single" w:sz="4" w:space="0" w:color="auto"/>
              <w:bottom w:val="single" w:sz="4" w:space="0" w:color="auto"/>
            </w:tcBorders>
          </w:tcPr>
          <w:p w14:paraId="598986A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Метадон/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14:paraId="0BFF11C1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Метадон:</w:t>
            </w:r>
          </w:p>
          <w:p w14:paraId="5358DA3A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AUC: ↑ 5 % (↓ 2–↑ 13)</w:t>
            </w:r>
          </w:p>
          <w:p w14:paraId="12B8B6FE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↑ 5 % (↓ 3–↑ 14)</w:t>
            </w:r>
          </w:p>
          <w:p w14:paraId="5350F288" w14:textId="77777777" w:rsidR="0003407C" w:rsidRPr="00704FB4" w:rsidRDefault="0003407C" w:rsidP="00B30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704FB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: НВ</w:t>
            </w:r>
          </w:p>
        </w:tc>
        <w:tc>
          <w:tcPr>
            <w:tcW w:w="1627" w:type="pct"/>
            <w:tcBorders>
              <w:top w:val="single" w:sz="4" w:space="0" w:color="auto"/>
              <w:bottom w:val="single" w:sz="4" w:space="0" w:color="auto"/>
            </w:tcBorders>
          </w:tcPr>
          <w:p w14:paraId="63753773" w14:textId="77777777" w:rsidR="0003407C" w:rsidRPr="00704FB4" w:rsidRDefault="0003407C" w:rsidP="00071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4FB4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дозы метадона не требуется.</w:t>
            </w:r>
          </w:p>
        </w:tc>
      </w:tr>
    </w:tbl>
    <w:p w14:paraId="1B25D1C6" w14:textId="77777777" w:rsidR="0003407C" w:rsidRPr="00704FB4" w:rsidRDefault="0003407C" w:rsidP="00D073D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04FB4">
        <w:rPr>
          <w:rFonts w:ascii="Times New Roman" w:eastAsia="Calibri" w:hAnsi="Times New Roman" w:cs="Times New Roman"/>
          <w:sz w:val="20"/>
          <w:szCs w:val="20"/>
        </w:rPr>
        <w:t>НВ = не вычислено.</w:t>
      </w:r>
    </w:p>
    <w:p w14:paraId="14ED4F1B" w14:textId="77777777" w:rsidR="0003407C" w:rsidRPr="00704FB4" w:rsidRDefault="0003407C" w:rsidP="00D073D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04FB4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704FB4">
        <w:rPr>
          <w:rFonts w:ascii="Times New Roman" w:eastAsia="Calibri" w:hAnsi="Times New Roman" w:cs="Times New Roman"/>
          <w:sz w:val="20"/>
          <w:szCs w:val="20"/>
        </w:rPr>
        <w:t xml:space="preserve"> Данные получены при одновременном введении с </w:t>
      </w:r>
      <w:proofErr w:type="spellStart"/>
      <w:r w:rsidRPr="00704FB4">
        <w:rPr>
          <w:rFonts w:ascii="Times New Roman" w:eastAsia="Calibri" w:hAnsi="Times New Roman" w:cs="Times New Roman"/>
          <w:sz w:val="20"/>
          <w:szCs w:val="20"/>
        </w:rPr>
        <w:t>ледипасвиром</w:t>
      </w:r>
      <w:proofErr w:type="spellEnd"/>
      <w:r w:rsidRPr="00704FB4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0"/>
          <w:szCs w:val="20"/>
        </w:rPr>
        <w:t>софосбувиром</w:t>
      </w:r>
      <w:proofErr w:type="spellEnd"/>
      <w:r w:rsidRPr="00704FB4">
        <w:rPr>
          <w:rFonts w:ascii="Times New Roman" w:eastAsia="Calibri" w:hAnsi="Times New Roman" w:cs="Times New Roman"/>
          <w:sz w:val="20"/>
          <w:szCs w:val="20"/>
        </w:rPr>
        <w:t>.  Неодновременное (с интервалом 12 часов) введение дало сходные результаты.</w:t>
      </w:r>
    </w:p>
    <w:p w14:paraId="6F007ECB" w14:textId="77777777" w:rsidR="0031198A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4FB4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704FB4">
        <w:rPr>
          <w:rFonts w:ascii="Times New Roman" w:eastAsia="Calibri" w:hAnsi="Times New Roman" w:cs="Times New Roman"/>
          <w:sz w:val="20"/>
          <w:szCs w:val="20"/>
        </w:rPr>
        <w:t xml:space="preserve"> Основной циркулирующий метаболит </w:t>
      </w:r>
      <w:proofErr w:type="spellStart"/>
      <w:r w:rsidRPr="00704FB4">
        <w:rPr>
          <w:rFonts w:ascii="Times New Roman" w:eastAsia="Calibri" w:hAnsi="Times New Roman" w:cs="Times New Roman"/>
          <w:sz w:val="20"/>
          <w:szCs w:val="20"/>
        </w:rPr>
        <w:t>софосбувира</w:t>
      </w:r>
      <w:proofErr w:type="spellEnd"/>
      <w:r w:rsidRPr="00704FB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10D3699" w14:textId="77777777" w:rsidR="00DD32C5" w:rsidRPr="00704FB4" w:rsidRDefault="00DD32C5" w:rsidP="00D073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04FB4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3 </w:t>
      </w:r>
      <w:r w:rsidR="00652FEA" w:rsidRPr="00704FB4">
        <w:rPr>
          <w:rFonts w:ascii="Times New Roman" w:hAnsi="Times New Roman" w:cs="Times New Roman"/>
          <w:color w:val="222222"/>
          <w:sz w:val="20"/>
          <w:szCs w:val="20"/>
        </w:rPr>
        <w:t xml:space="preserve">Исследование проводилось с добавлением </w:t>
      </w:r>
      <w:proofErr w:type="spellStart"/>
      <w:r w:rsidR="00652FEA" w:rsidRPr="00704FB4">
        <w:rPr>
          <w:rFonts w:ascii="Times New Roman" w:hAnsi="Times New Roman" w:cs="Times New Roman"/>
          <w:color w:val="222222"/>
          <w:sz w:val="20"/>
          <w:szCs w:val="20"/>
        </w:rPr>
        <w:t>воксилапревира</w:t>
      </w:r>
      <w:proofErr w:type="spellEnd"/>
      <w:r w:rsidR="00652FEA" w:rsidRPr="00704FB4">
        <w:rPr>
          <w:rFonts w:ascii="Times New Roman" w:hAnsi="Times New Roman" w:cs="Times New Roman"/>
          <w:color w:val="222222"/>
          <w:sz w:val="20"/>
          <w:szCs w:val="20"/>
        </w:rPr>
        <w:t xml:space="preserve"> 100 мг для достижения ожидаемых воздействий </w:t>
      </w:r>
      <w:proofErr w:type="spellStart"/>
      <w:r w:rsidR="00652FEA" w:rsidRPr="00704FB4">
        <w:rPr>
          <w:rFonts w:ascii="Times New Roman" w:hAnsi="Times New Roman" w:cs="Times New Roman"/>
          <w:color w:val="222222"/>
          <w:sz w:val="20"/>
          <w:szCs w:val="20"/>
        </w:rPr>
        <w:t>воксилапревира</w:t>
      </w:r>
      <w:proofErr w:type="spellEnd"/>
      <w:r w:rsidR="00652FEA" w:rsidRPr="00704FB4">
        <w:rPr>
          <w:rFonts w:ascii="Times New Roman" w:hAnsi="Times New Roman" w:cs="Times New Roman"/>
          <w:color w:val="222222"/>
          <w:sz w:val="20"/>
          <w:szCs w:val="20"/>
        </w:rPr>
        <w:t xml:space="preserve"> у пациентов с ВГС-инфекцией.</w:t>
      </w:r>
    </w:p>
    <w:p w14:paraId="72F44101" w14:textId="77777777" w:rsidR="0031198A" w:rsidRPr="00704FB4" w:rsidRDefault="0031198A" w:rsidP="00D073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6EB0C3" w14:textId="77777777" w:rsidR="009C166C" w:rsidRPr="00704FB4" w:rsidRDefault="00E015F8" w:rsidP="00D073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4.6. Фертил</w:t>
      </w:r>
      <w:r w:rsidR="0031198A" w:rsidRPr="00704FB4">
        <w:rPr>
          <w:rFonts w:ascii="Times New Roman" w:hAnsi="Times New Roman" w:cs="Times New Roman"/>
          <w:b/>
          <w:sz w:val="24"/>
          <w:szCs w:val="24"/>
        </w:rPr>
        <w:t>ьность, беременность и лактация</w:t>
      </w:r>
    </w:p>
    <w:p w14:paraId="747FEF58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</w:rPr>
        <w:t>Беременность</w:t>
      </w:r>
    </w:p>
    <w:p w14:paraId="6B0E003F" w14:textId="77777777" w:rsidR="0003407C" w:rsidRPr="00704FB4" w:rsidRDefault="00DD32C5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>Большое</w:t>
      </w:r>
      <w:r w:rsidR="0003407C" w:rsidRPr="00704FB4">
        <w:rPr>
          <w:rFonts w:ascii="Times New Roman" w:eastAsia="Calibri" w:hAnsi="Times New Roman" w:cs="Times New Roman"/>
          <w:sz w:val="24"/>
          <w:szCs w:val="24"/>
        </w:rPr>
        <w:t xml:space="preserve"> количество данных, полученных у беременных женщин (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более </w:t>
      </w:r>
      <w:r w:rsidR="0003407C" w:rsidRPr="00704FB4">
        <w:rPr>
          <w:rFonts w:ascii="Times New Roman" w:eastAsia="Calibri" w:hAnsi="Times New Roman" w:cs="Times New Roman"/>
          <w:sz w:val="24"/>
          <w:szCs w:val="24"/>
        </w:rPr>
        <w:t xml:space="preserve">1000 беременностей, завершившихся рождением ребенка), указывают на отсутствие пороков развития или токсического воздействия на плод/новорожденного, которые были бы связаны с </w:t>
      </w:r>
      <w:proofErr w:type="spellStart"/>
      <w:r w:rsidR="0003407C" w:rsidRPr="00704FB4">
        <w:rPr>
          <w:rFonts w:ascii="Times New Roman" w:eastAsia="Calibri" w:hAnsi="Times New Roman" w:cs="Times New Roman"/>
          <w:sz w:val="24"/>
          <w:szCs w:val="24"/>
        </w:rPr>
        <w:t>эмтрицитабином</w:t>
      </w:r>
      <w:proofErr w:type="spellEnd"/>
      <w:r w:rsidR="0003407C"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03407C"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="0003407C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407C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03407C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407C" w:rsidRPr="00704FB4">
        <w:rPr>
          <w:rFonts w:ascii="Times New Roman" w:eastAsia="Calibri" w:hAnsi="Times New Roman" w:cs="Times New Roman"/>
          <w:sz w:val="24"/>
          <w:szCs w:val="24"/>
        </w:rPr>
        <w:t>фумаратом</w:t>
      </w:r>
      <w:proofErr w:type="spellEnd"/>
      <w:r w:rsidR="0003407C" w:rsidRPr="00704FB4">
        <w:rPr>
          <w:rFonts w:ascii="Times New Roman" w:eastAsia="Calibri" w:hAnsi="Times New Roman" w:cs="Times New Roman"/>
          <w:sz w:val="24"/>
          <w:szCs w:val="24"/>
        </w:rPr>
        <w:t xml:space="preserve">. При необходимости можно рассмотреть целесообразность применения препарата </w:t>
      </w:r>
      <w:proofErr w:type="spellStart"/>
      <w:r w:rsidR="0003407C"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="0003407C"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03407C"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F76DF2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F76DF2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6DF2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F76DF2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6DF2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="0003407C" w:rsidRPr="00704FB4">
        <w:rPr>
          <w:rFonts w:ascii="Times New Roman" w:eastAsia="Calibri" w:hAnsi="Times New Roman" w:cs="Times New Roman"/>
          <w:sz w:val="24"/>
          <w:szCs w:val="24"/>
        </w:rPr>
        <w:t xml:space="preserve"> во время беременности.</w:t>
      </w:r>
    </w:p>
    <w:p w14:paraId="132C65B4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>Кормление грудью</w:t>
      </w:r>
    </w:p>
    <w:p w14:paraId="294664C3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Исследования показали, что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выделяются в грудное молоко. Данные о влиянии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на новорожденных/младенцев недостаточны. Поэтому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F76DF2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F76DF2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6DF2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F76DF2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6DF2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не следует применять в период кормления грудью.</w:t>
      </w:r>
    </w:p>
    <w:p w14:paraId="0C94536D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>В целом ВИЧ-инфицированным женщинам не рекомендуется кормить грудью во избежание передачи ВИЧ ребенку.</w:t>
      </w:r>
    </w:p>
    <w:p w14:paraId="3151341F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>Фертильность</w:t>
      </w:r>
    </w:p>
    <w:p w14:paraId="13495398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Нет данных об эффектах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F76DF2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F76DF2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6DF2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F76DF2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6DF2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в исследованиях у человека. </w:t>
      </w:r>
      <w:r w:rsidR="00DD32C5" w:rsidRPr="00704FB4">
        <w:rPr>
          <w:rFonts w:ascii="Times New Roman" w:eastAsia="Calibri" w:hAnsi="Times New Roman" w:cs="Times New Roman"/>
          <w:sz w:val="24"/>
          <w:szCs w:val="24"/>
        </w:rPr>
        <w:t xml:space="preserve">Исследования у животных не указывают на вредное воздействие </w:t>
      </w:r>
      <w:proofErr w:type="spellStart"/>
      <w:r w:rsidR="00DD32C5" w:rsidRPr="00704FB4">
        <w:rPr>
          <w:rFonts w:ascii="Times New Roman" w:eastAsia="Calibri" w:hAnsi="Times New Roman" w:cs="Times New Roman"/>
          <w:sz w:val="24"/>
          <w:szCs w:val="24"/>
        </w:rPr>
        <w:t>эмтрицитабина</w:t>
      </w:r>
      <w:proofErr w:type="spellEnd"/>
      <w:r w:rsidR="00DD32C5" w:rsidRPr="00704FB4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proofErr w:type="spellStart"/>
      <w:r w:rsidR="00DD32C5"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="00DD32C5" w:rsidRPr="00704FB4">
        <w:rPr>
          <w:rFonts w:ascii="Times New Roman" w:eastAsia="Calibri" w:hAnsi="Times New Roman" w:cs="Times New Roman"/>
          <w:sz w:val="24"/>
          <w:szCs w:val="24"/>
        </w:rPr>
        <w:t xml:space="preserve"> на фертильность.</w:t>
      </w:r>
    </w:p>
    <w:p w14:paraId="7F18A8E2" w14:textId="77777777" w:rsidR="0031198A" w:rsidRPr="00704FB4" w:rsidRDefault="0031198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13EEEB" w14:textId="77777777" w:rsidR="00E015F8" w:rsidRPr="00704FB4" w:rsidRDefault="00E015F8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 xml:space="preserve">4.7. Влияние на способность управлять транспортными средствами </w:t>
      </w:r>
      <w:r w:rsidR="0031198A" w:rsidRPr="00704FB4">
        <w:rPr>
          <w:rFonts w:ascii="Times New Roman" w:hAnsi="Times New Roman" w:cs="Times New Roman"/>
          <w:b/>
          <w:sz w:val="24"/>
          <w:szCs w:val="24"/>
        </w:rPr>
        <w:t>и потенциально опасными механизмами</w:t>
      </w:r>
    </w:p>
    <w:p w14:paraId="47C1A149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Исследования относительно влияния на способность управлять автотранспортом и использовать механизмы не проводились</w:t>
      </w:r>
      <w:r w:rsidRPr="00704FB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04F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4FB4">
        <w:rPr>
          <w:rFonts w:ascii="Times New Roman" w:hAnsi="Times New Roman" w:cs="Times New Roman"/>
          <w:sz w:val="24"/>
          <w:szCs w:val="24"/>
        </w:rPr>
        <w:t xml:space="preserve">Пациентов следует проинформировать о наличии сообщений о головокружении при лечении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эмтрицитабином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фумаратом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>.</w:t>
      </w:r>
    </w:p>
    <w:p w14:paraId="6A55475B" w14:textId="77777777" w:rsidR="0031198A" w:rsidRPr="00704FB4" w:rsidRDefault="0031198A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6618" w14:textId="77777777" w:rsidR="00055682" w:rsidRPr="00704FB4" w:rsidRDefault="0031198A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4.8. Нежелательные реакции</w:t>
      </w:r>
    </w:p>
    <w:p w14:paraId="521C801C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описание профиля безопасности</w:t>
      </w:r>
    </w:p>
    <w:p w14:paraId="2A6B8066" w14:textId="77777777" w:rsidR="0003407C" w:rsidRPr="00704FB4" w:rsidRDefault="00210FA3" w:rsidP="00D073DF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4F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ВИЧ-1 инфекция:</w:t>
      </w:r>
      <w:r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</w:t>
      </w:r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открытом рандомизированном клиническом исследовании у взрослых (GS-01-934) наиболее часто сообщалось о таких </w:t>
      </w:r>
      <w:r w:rsidR="00EC1FF5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нежелательных реакциях</w:t>
      </w:r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как тошнота (12 %) и диарея (7 %), которые, возможно или вероятно, были связаны с применением </w:t>
      </w:r>
      <w:proofErr w:type="spellStart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эмтрицитабина</w:t>
      </w:r>
      <w:proofErr w:type="spellEnd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и/или </w:t>
      </w:r>
      <w:proofErr w:type="spellStart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тенофовира</w:t>
      </w:r>
      <w:proofErr w:type="spellEnd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дизопроксила</w:t>
      </w:r>
      <w:proofErr w:type="spellEnd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фумарата</w:t>
      </w:r>
      <w:proofErr w:type="spellEnd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(см. раздел </w:t>
      </w:r>
      <w:r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5.1</w:t>
      </w:r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). </w:t>
      </w:r>
      <w:r w:rsidR="0003407C" w:rsidRPr="00704FB4">
        <w:rPr>
          <w:rFonts w:ascii="Times New Roman" w:eastAsia="Times New Roman" w:hAnsi="Times New Roman" w:cs="Times New Roman"/>
          <w:sz w:val="24"/>
          <w:szCs w:val="24"/>
        </w:rPr>
        <w:t xml:space="preserve">Профиль безопасности </w:t>
      </w:r>
      <w:proofErr w:type="spellStart"/>
      <w:r w:rsidR="0003407C" w:rsidRPr="00704FB4">
        <w:rPr>
          <w:rFonts w:ascii="Times New Roman" w:eastAsia="Times New Roman" w:hAnsi="Times New Roman" w:cs="Times New Roman"/>
          <w:sz w:val="24"/>
          <w:szCs w:val="24"/>
        </w:rPr>
        <w:t>эмтрицитабина</w:t>
      </w:r>
      <w:proofErr w:type="spellEnd"/>
      <w:r w:rsidR="0003407C" w:rsidRPr="00704FB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тенофовира</w:t>
      </w:r>
      <w:proofErr w:type="spellEnd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дизопроксила</w:t>
      </w:r>
      <w:proofErr w:type="spellEnd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фумарата</w:t>
      </w:r>
      <w:proofErr w:type="spellEnd"/>
      <w:r w:rsidR="0003407C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данном исследовании соответствовал предыдущему опыту, полученному в отношении таких веществ, каждое из которых применялось вместе с другими антиретровирусными средствами.</w:t>
      </w:r>
    </w:p>
    <w:p w14:paraId="792994CE" w14:textId="77777777" w:rsidR="00210FA3" w:rsidRPr="00704FB4" w:rsidRDefault="00210FA3" w:rsidP="00D073DF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4F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ДКП:</w:t>
      </w:r>
      <w:r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ходе двух рандомизированных плацебо-контролируемых исследований с участием 2830 неинфицированных ВИЧ-1 взрослых лиц, которые получали препарат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Эмтрицитабин</w:t>
      </w:r>
      <w:proofErr w:type="spellEnd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тенофовира</w:t>
      </w:r>
      <w:proofErr w:type="spellEnd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дизопроксила</w:t>
      </w:r>
      <w:proofErr w:type="spellEnd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фумарат</w:t>
      </w:r>
      <w:proofErr w:type="spellEnd"/>
      <w:r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 раз в сутки в качестве </w:t>
      </w:r>
      <w:proofErr w:type="spellStart"/>
      <w:r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доконтактной</w:t>
      </w:r>
      <w:proofErr w:type="spellEnd"/>
      <w:r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профилактики, никаких новых нежелательных реакций, в связи с приемом препарата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Эмтрицитабин</w:t>
      </w:r>
      <w:proofErr w:type="spellEnd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тенофовира</w:t>
      </w:r>
      <w:proofErr w:type="spellEnd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дизопроксила</w:t>
      </w:r>
      <w:proofErr w:type="spellEnd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фумарат</w:t>
      </w:r>
      <w:proofErr w:type="spellEnd"/>
      <w:r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выявлено не было. Пациентов наблюдали в среднем в течение 71 и 87 </w:t>
      </w:r>
      <w:proofErr w:type="spellStart"/>
      <w:r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нед</w:t>
      </w:r>
      <w:proofErr w:type="spellEnd"/>
      <w:r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соответственно. Наиболее частой нежелательной реакцией в группе препарата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Эмтрицитабин</w:t>
      </w:r>
      <w:proofErr w:type="spellEnd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тенофовира</w:t>
      </w:r>
      <w:proofErr w:type="spellEnd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дизопроксила</w:t>
      </w:r>
      <w:proofErr w:type="spellEnd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E37ED"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>фумарат</w:t>
      </w:r>
      <w:proofErr w:type="spellEnd"/>
      <w:r w:rsidRPr="00704F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одного из исследований была головная боль (1%).</w:t>
      </w:r>
    </w:p>
    <w:p w14:paraId="4B3E952D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Сводная таблица </w:t>
      </w:r>
      <w:r w:rsidR="00EC1FF5"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нежелательных реакции</w:t>
      </w:r>
    </w:p>
    <w:p w14:paraId="3AEDC061" w14:textId="77777777" w:rsidR="0003407C" w:rsidRPr="00704FB4" w:rsidRDefault="0003407C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Зарегистрированные в клинических исследованиях и пострегистрационном наблюдении ВИЧ-1 инфицированных пациентов </w:t>
      </w:r>
      <w:r w:rsidR="00EC1FF5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нежелательные  реакции </w:t>
      </w:r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 возможным отношением к лечению компонентами препарата </w:t>
      </w:r>
      <w:proofErr w:type="spellStart"/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Эмтрицитабин</w:t>
      </w:r>
      <w:proofErr w:type="spellEnd"/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тенофовир</w:t>
      </w:r>
      <w:r w:rsidR="00F76DF2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proofErr w:type="spellEnd"/>
      <w:r w:rsidR="00F76DF2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76DF2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дизопроксила</w:t>
      </w:r>
      <w:proofErr w:type="spellEnd"/>
      <w:r w:rsidR="00F76DF2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76DF2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фумарат</w:t>
      </w:r>
      <w:proofErr w:type="spellEnd"/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приводятся в таблице 2 </w:t>
      </w:r>
      <w:r w:rsidRPr="00704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по классам</w:t>
      </w:r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систем органов и частоте. В рамках каждой группы по частоте </w:t>
      </w:r>
      <w:r w:rsidR="00EC1FF5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нежелательных  реакции </w:t>
      </w:r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приведены в порядке уменьшения серьезности. Побочные действия по частоте определяются как: очень часто (≥1/10), часто (от ≥1/100 до &lt;1/10), нечасто (от ≥1/1000 до &lt;1/100) и редко (от ≥1/10 000 до &lt;1/1000).</w:t>
      </w:r>
    </w:p>
    <w:p w14:paraId="4DFA2BB2" w14:textId="77777777" w:rsidR="0003407C" w:rsidRPr="00704FB4" w:rsidRDefault="003B1963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Таблица 3</w:t>
      </w:r>
      <w:r w:rsidR="0003407C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116B1911" w14:textId="77777777" w:rsidR="0003407C" w:rsidRPr="00704FB4" w:rsidRDefault="0003407C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4FB4">
        <w:rPr>
          <w:rFonts w:ascii="Times New Roman" w:eastAsia="Times New Roman" w:hAnsi="Times New Roman" w:cs="Times New Roman"/>
          <w:sz w:val="24"/>
          <w:szCs w:val="24"/>
          <w:lang w:eastAsia="en-GB" w:bidi="ar-IQ"/>
        </w:rPr>
        <w:t xml:space="preserve">Краткие данные о </w:t>
      </w:r>
      <w:proofErr w:type="spellStart"/>
      <w:r w:rsidR="00EC1FF5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нежелательныъ</w:t>
      </w:r>
      <w:proofErr w:type="spellEnd"/>
      <w:r w:rsidR="00EC1FF5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реакциях</w:t>
      </w:r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связанных с отдельными компонентами препарата </w:t>
      </w:r>
      <w:proofErr w:type="spellStart"/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Эмтрицитабин</w:t>
      </w:r>
      <w:proofErr w:type="spellEnd"/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тенофовир</w:t>
      </w:r>
      <w:r w:rsidR="00F76DF2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а</w:t>
      </w:r>
      <w:proofErr w:type="spellEnd"/>
      <w:r w:rsidR="00F76DF2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76DF2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дизопроксила</w:t>
      </w:r>
      <w:proofErr w:type="spellEnd"/>
      <w:r w:rsidR="00F76DF2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76DF2"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фумарат</w:t>
      </w:r>
      <w:proofErr w:type="spellEnd"/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на основании клинического исследования и </w:t>
      </w:r>
      <w:proofErr w:type="spellStart"/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постмаркетингового</w:t>
      </w:r>
      <w:proofErr w:type="spellEnd"/>
      <w:r w:rsidRPr="00704F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анализа.</w:t>
      </w:r>
    </w:p>
    <w:p w14:paraId="54AD6D01" w14:textId="77777777" w:rsidR="0003407C" w:rsidRPr="00704FB4" w:rsidRDefault="0003407C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3400"/>
        <w:gridCol w:w="3603"/>
      </w:tblGrid>
      <w:tr w:rsidR="0003407C" w:rsidRPr="00704FB4" w14:paraId="797706F5" w14:textId="77777777" w:rsidTr="00FA25CB">
        <w:trPr>
          <w:cantSplit/>
        </w:trPr>
        <w:tc>
          <w:tcPr>
            <w:tcW w:w="2552" w:type="dxa"/>
          </w:tcPr>
          <w:p w14:paraId="1C3B9250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3519" w:type="dxa"/>
          </w:tcPr>
          <w:p w14:paraId="3468BD76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4010" w:type="dxa"/>
          </w:tcPr>
          <w:p w14:paraId="31392CC3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дизопроксила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фумарат</w:t>
            </w:r>
            <w:proofErr w:type="spellEnd"/>
          </w:p>
        </w:tc>
      </w:tr>
      <w:tr w:rsidR="0003407C" w:rsidRPr="00704FB4" w14:paraId="15A2EED5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6652E834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Нарушения со стороны крови и лимфатической системы</w:t>
            </w:r>
          </w:p>
        </w:tc>
      </w:tr>
      <w:tr w:rsidR="0003407C" w:rsidRPr="00704FB4" w14:paraId="0E0E5EB3" w14:textId="77777777" w:rsidTr="00FA25CB">
        <w:trPr>
          <w:cantSplit/>
        </w:trPr>
        <w:tc>
          <w:tcPr>
            <w:tcW w:w="2552" w:type="dxa"/>
          </w:tcPr>
          <w:p w14:paraId="26B10FFC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3519" w:type="dxa"/>
          </w:tcPr>
          <w:p w14:paraId="71BF0FA2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Нейтропения</w:t>
            </w:r>
            <w:proofErr w:type="spellEnd"/>
          </w:p>
        </w:tc>
        <w:tc>
          <w:tcPr>
            <w:tcW w:w="4010" w:type="dxa"/>
          </w:tcPr>
          <w:p w14:paraId="49C7B8EE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7C" w:rsidRPr="00704FB4" w14:paraId="1D6B905F" w14:textId="77777777" w:rsidTr="00FA25CB">
        <w:trPr>
          <w:cantSplit/>
        </w:trPr>
        <w:tc>
          <w:tcPr>
            <w:tcW w:w="2552" w:type="dxa"/>
          </w:tcPr>
          <w:p w14:paraId="5853C381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3519" w:type="dxa"/>
          </w:tcPr>
          <w:p w14:paraId="20801AD6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Анемия</w:t>
            </w:r>
            <w:r w:rsidR="003B1963" w:rsidRPr="00704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010" w:type="dxa"/>
          </w:tcPr>
          <w:p w14:paraId="6D923797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7C" w:rsidRPr="00704FB4" w14:paraId="68D48094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428E515F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Нарушения со стороны иммунной системы</w:t>
            </w:r>
          </w:p>
        </w:tc>
      </w:tr>
      <w:tr w:rsidR="0003407C" w:rsidRPr="00704FB4" w14:paraId="49ADA085" w14:textId="77777777" w:rsidTr="00FA25CB">
        <w:trPr>
          <w:cantSplit/>
        </w:trPr>
        <w:tc>
          <w:tcPr>
            <w:tcW w:w="2552" w:type="dxa"/>
          </w:tcPr>
          <w:p w14:paraId="3B558A27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3519" w:type="dxa"/>
          </w:tcPr>
          <w:p w14:paraId="5BA1D295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Аллергическая реакция</w:t>
            </w:r>
          </w:p>
        </w:tc>
        <w:tc>
          <w:tcPr>
            <w:tcW w:w="4010" w:type="dxa"/>
          </w:tcPr>
          <w:p w14:paraId="6A1884DA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7C" w:rsidRPr="00704FB4" w14:paraId="3F0F3652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24F3FBCA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Нарушения со стороны питания и обмена веществ</w:t>
            </w:r>
          </w:p>
        </w:tc>
      </w:tr>
      <w:tr w:rsidR="0003407C" w:rsidRPr="00704FB4" w14:paraId="3D7FBB86" w14:textId="77777777" w:rsidTr="00FA25CB">
        <w:trPr>
          <w:cantSplit/>
        </w:trPr>
        <w:tc>
          <w:tcPr>
            <w:tcW w:w="2552" w:type="dxa"/>
          </w:tcPr>
          <w:p w14:paraId="45A3BBA2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3519" w:type="dxa"/>
          </w:tcPr>
          <w:p w14:paraId="35621982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0F795A09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Гипофосфатемия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3407C" w:rsidRPr="00704FB4" w14:paraId="3DB9B4D7" w14:textId="77777777" w:rsidTr="00FA25CB">
        <w:trPr>
          <w:cantSplit/>
        </w:trPr>
        <w:tc>
          <w:tcPr>
            <w:tcW w:w="2552" w:type="dxa"/>
          </w:tcPr>
          <w:p w14:paraId="6849DC9E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3519" w:type="dxa"/>
          </w:tcPr>
          <w:p w14:paraId="74A18A8A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Гипергликемия,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Гипертриглицеридемия</w:t>
            </w:r>
            <w:proofErr w:type="spellEnd"/>
          </w:p>
        </w:tc>
        <w:tc>
          <w:tcPr>
            <w:tcW w:w="4010" w:type="dxa"/>
          </w:tcPr>
          <w:p w14:paraId="744CB49C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7C" w:rsidRPr="00704FB4" w14:paraId="480C70CF" w14:textId="77777777" w:rsidTr="00FA25CB">
        <w:trPr>
          <w:cantSplit/>
        </w:trPr>
        <w:tc>
          <w:tcPr>
            <w:tcW w:w="2552" w:type="dxa"/>
          </w:tcPr>
          <w:p w14:paraId="185B72CD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3519" w:type="dxa"/>
          </w:tcPr>
          <w:p w14:paraId="074FDC05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1DB8727A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Гипокалиемия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3407C" w:rsidRPr="00704FB4" w14:paraId="7D44297C" w14:textId="77777777" w:rsidTr="00FA25CB">
        <w:trPr>
          <w:cantSplit/>
        </w:trPr>
        <w:tc>
          <w:tcPr>
            <w:tcW w:w="2552" w:type="dxa"/>
          </w:tcPr>
          <w:p w14:paraId="2050A1C6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3519" w:type="dxa"/>
          </w:tcPr>
          <w:p w14:paraId="505AE3F9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49E8A664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-ацидоз</w:t>
            </w:r>
          </w:p>
        </w:tc>
      </w:tr>
      <w:tr w:rsidR="0003407C" w:rsidRPr="00704FB4" w14:paraId="67A50FF2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3AF86E1D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Нарушения психики</w:t>
            </w:r>
          </w:p>
        </w:tc>
      </w:tr>
      <w:tr w:rsidR="0003407C" w:rsidRPr="00704FB4" w14:paraId="7C96A2C7" w14:textId="77777777" w:rsidTr="00FA25CB">
        <w:trPr>
          <w:cantSplit/>
        </w:trPr>
        <w:tc>
          <w:tcPr>
            <w:tcW w:w="2552" w:type="dxa"/>
          </w:tcPr>
          <w:p w14:paraId="4261A6B5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3519" w:type="dxa"/>
          </w:tcPr>
          <w:p w14:paraId="374547E5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Бессонница, аномальные сновидения</w:t>
            </w:r>
          </w:p>
        </w:tc>
        <w:tc>
          <w:tcPr>
            <w:tcW w:w="4010" w:type="dxa"/>
          </w:tcPr>
          <w:p w14:paraId="77E3E35F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7C" w:rsidRPr="00704FB4" w14:paraId="39382737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39EFA275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Нарушения со стороны нервной системы</w:t>
            </w:r>
          </w:p>
        </w:tc>
      </w:tr>
      <w:tr w:rsidR="0003407C" w:rsidRPr="00704FB4" w14:paraId="2157BC7D" w14:textId="77777777" w:rsidTr="00FA25CB">
        <w:trPr>
          <w:cantSplit/>
        </w:trPr>
        <w:tc>
          <w:tcPr>
            <w:tcW w:w="2552" w:type="dxa"/>
          </w:tcPr>
          <w:p w14:paraId="3A45321C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3519" w:type="dxa"/>
          </w:tcPr>
          <w:p w14:paraId="0BA040CE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Головная боль</w:t>
            </w:r>
          </w:p>
        </w:tc>
        <w:tc>
          <w:tcPr>
            <w:tcW w:w="4010" w:type="dxa"/>
          </w:tcPr>
          <w:p w14:paraId="1DE2D024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Головокружение</w:t>
            </w:r>
          </w:p>
        </w:tc>
      </w:tr>
      <w:tr w:rsidR="0003407C" w:rsidRPr="00704FB4" w14:paraId="7410CDA7" w14:textId="77777777" w:rsidTr="00FA25CB">
        <w:trPr>
          <w:cantSplit/>
        </w:trPr>
        <w:tc>
          <w:tcPr>
            <w:tcW w:w="2552" w:type="dxa"/>
          </w:tcPr>
          <w:p w14:paraId="3DE6BEDC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3519" w:type="dxa"/>
          </w:tcPr>
          <w:p w14:paraId="5834C148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Головокружение</w:t>
            </w:r>
          </w:p>
          <w:p w14:paraId="7AE7CC4E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010" w:type="dxa"/>
          </w:tcPr>
          <w:p w14:paraId="2995D4C8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Головная боль</w:t>
            </w:r>
          </w:p>
        </w:tc>
      </w:tr>
      <w:tr w:rsidR="0003407C" w:rsidRPr="00704FB4" w14:paraId="14B4EA7E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43AE6712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Нарушения со стороны желудочно-кишечного тракта</w:t>
            </w:r>
          </w:p>
        </w:tc>
      </w:tr>
      <w:tr w:rsidR="0003407C" w:rsidRPr="00704FB4" w14:paraId="182C784C" w14:textId="77777777" w:rsidTr="00FA25CB">
        <w:trPr>
          <w:cantSplit/>
        </w:trPr>
        <w:tc>
          <w:tcPr>
            <w:tcW w:w="2552" w:type="dxa"/>
          </w:tcPr>
          <w:p w14:paraId="7B94AC27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3519" w:type="dxa"/>
          </w:tcPr>
          <w:p w14:paraId="119D3FD8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Диарея, тошнота</w:t>
            </w:r>
          </w:p>
        </w:tc>
        <w:tc>
          <w:tcPr>
            <w:tcW w:w="4010" w:type="dxa"/>
          </w:tcPr>
          <w:p w14:paraId="58A6F5B1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Диарея, рвота, тошнота</w:t>
            </w:r>
          </w:p>
        </w:tc>
      </w:tr>
      <w:tr w:rsidR="0003407C" w:rsidRPr="00704FB4" w14:paraId="4E4ECDD9" w14:textId="77777777" w:rsidTr="00FA25CB">
        <w:trPr>
          <w:cantSplit/>
        </w:trPr>
        <w:tc>
          <w:tcPr>
            <w:tcW w:w="2552" w:type="dxa"/>
          </w:tcPr>
          <w:p w14:paraId="7D0FABC9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Часто</w:t>
            </w:r>
          </w:p>
        </w:tc>
        <w:tc>
          <w:tcPr>
            <w:tcW w:w="3519" w:type="dxa"/>
          </w:tcPr>
          <w:p w14:paraId="5D3E365A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 уровень амилазы, включая повышенный уровень панкреатической амилазы, повышенный уровень липазы сыворотки, рвота, боль в животе, диспепсия</w:t>
            </w:r>
          </w:p>
        </w:tc>
        <w:tc>
          <w:tcPr>
            <w:tcW w:w="4010" w:type="dxa"/>
          </w:tcPr>
          <w:p w14:paraId="36B8101C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Боль в животе, вздутие живота, метеоризм</w:t>
            </w:r>
          </w:p>
        </w:tc>
      </w:tr>
      <w:tr w:rsidR="0003407C" w:rsidRPr="00704FB4" w14:paraId="2E5C2169" w14:textId="77777777" w:rsidTr="00FA25CB">
        <w:trPr>
          <w:cantSplit/>
        </w:trPr>
        <w:tc>
          <w:tcPr>
            <w:tcW w:w="2552" w:type="dxa"/>
          </w:tcPr>
          <w:p w14:paraId="403BE934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3519" w:type="dxa"/>
          </w:tcPr>
          <w:p w14:paraId="556E54E5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04BBA957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Панкреатит</w:t>
            </w:r>
          </w:p>
        </w:tc>
      </w:tr>
      <w:tr w:rsidR="0003407C" w:rsidRPr="00704FB4" w14:paraId="37861759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1F7A7278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Нарушения со стороны печени и желчевыводящих путей</w:t>
            </w:r>
          </w:p>
        </w:tc>
      </w:tr>
      <w:tr w:rsidR="0003407C" w:rsidRPr="00704FB4" w14:paraId="2BB1AAE8" w14:textId="77777777" w:rsidTr="00FA25CB">
        <w:trPr>
          <w:cantSplit/>
        </w:trPr>
        <w:tc>
          <w:tcPr>
            <w:tcW w:w="2552" w:type="dxa"/>
          </w:tcPr>
          <w:p w14:paraId="2E3A7C30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3519" w:type="dxa"/>
          </w:tcPr>
          <w:p w14:paraId="14BB0286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Повышенный уровень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аспартатаминотрансферазы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(АСТ) в сыворотке и/или повышенный уровень аланинаминотрансферазы (АЛТ) в сыворотке,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гипербилирубинемия</w:t>
            </w:r>
            <w:proofErr w:type="spellEnd"/>
          </w:p>
        </w:tc>
        <w:tc>
          <w:tcPr>
            <w:tcW w:w="4010" w:type="dxa"/>
          </w:tcPr>
          <w:p w14:paraId="655C9449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 уровень трансаминазы</w:t>
            </w:r>
          </w:p>
        </w:tc>
      </w:tr>
      <w:tr w:rsidR="0003407C" w:rsidRPr="00704FB4" w14:paraId="33711365" w14:textId="77777777" w:rsidTr="00FA25CB">
        <w:trPr>
          <w:cantSplit/>
        </w:trPr>
        <w:tc>
          <w:tcPr>
            <w:tcW w:w="2552" w:type="dxa"/>
          </w:tcPr>
          <w:p w14:paraId="59F65FD2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3519" w:type="dxa"/>
          </w:tcPr>
          <w:p w14:paraId="5BC6D773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764440A6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Жировая дистрофия печени, гепатит</w:t>
            </w:r>
          </w:p>
        </w:tc>
      </w:tr>
      <w:tr w:rsidR="0003407C" w:rsidRPr="00704FB4" w14:paraId="2782AA14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1401E389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Нарушения со стороны кожи и подкожных тканей</w:t>
            </w:r>
          </w:p>
        </w:tc>
      </w:tr>
      <w:tr w:rsidR="0003407C" w:rsidRPr="00704FB4" w14:paraId="74A379E8" w14:textId="77777777" w:rsidTr="00FA25CB">
        <w:trPr>
          <w:cantSplit/>
        </w:trPr>
        <w:tc>
          <w:tcPr>
            <w:tcW w:w="2552" w:type="dxa"/>
          </w:tcPr>
          <w:p w14:paraId="5AC39AA7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3519" w:type="dxa"/>
          </w:tcPr>
          <w:p w14:paraId="1D10ED42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2D6AC8BB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Сыпь</w:t>
            </w:r>
          </w:p>
        </w:tc>
      </w:tr>
      <w:tr w:rsidR="0003407C" w:rsidRPr="00704FB4" w14:paraId="354197F9" w14:textId="77777777" w:rsidTr="00FA25CB">
        <w:trPr>
          <w:cantSplit/>
        </w:trPr>
        <w:tc>
          <w:tcPr>
            <w:tcW w:w="2552" w:type="dxa"/>
          </w:tcPr>
          <w:p w14:paraId="3E88C087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3519" w:type="dxa"/>
          </w:tcPr>
          <w:p w14:paraId="1F4ECFA4" w14:textId="17D17693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Везикулобуллезная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сыпь,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пустулярная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сыпь,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макулопапулезная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сыпь, сыпь, зуд,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уртикарная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сыпь, нарушение пигментации кожи</w:t>
            </w:r>
            <w:r w:rsidR="00FA25CB"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(усиленная пигментация)</w:t>
            </w:r>
            <w:r w:rsidRPr="00704F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4010" w:type="dxa"/>
          </w:tcPr>
          <w:p w14:paraId="2D807CD4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7C" w:rsidRPr="00704FB4" w14:paraId="513AE781" w14:textId="77777777" w:rsidTr="00FA25CB">
        <w:trPr>
          <w:cantSplit/>
        </w:trPr>
        <w:tc>
          <w:tcPr>
            <w:tcW w:w="2552" w:type="dxa"/>
          </w:tcPr>
          <w:p w14:paraId="307005D2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3519" w:type="dxa"/>
          </w:tcPr>
          <w:p w14:paraId="549C2560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Ангионевротический отек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010" w:type="dxa"/>
          </w:tcPr>
          <w:p w14:paraId="0552B6C9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7C" w:rsidRPr="00704FB4" w14:paraId="4430CB1A" w14:textId="77777777" w:rsidTr="00FA25CB">
        <w:trPr>
          <w:cantSplit/>
        </w:trPr>
        <w:tc>
          <w:tcPr>
            <w:tcW w:w="2552" w:type="dxa"/>
          </w:tcPr>
          <w:p w14:paraId="5BD01954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3519" w:type="dxa"/>
          </w:tcPr>
          <w:p w14:paraId="596880B5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191E8DC0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Ангионевротический отек</w:t>
            </w:r>
          </w:p>
        </w:tc>
      </w:tr>
      <w:tr w:rsidR="0003407C" w:rsidRPr="00704FB4" w14:paraId="723CA21C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1EEC81CF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Нарушения со стороны скелетно-мышечной и соединительной ткани</w:t>
            </w:r>
          </w:p>
        </w:tc>
      </w:tr>
      <w:tr w:rsidR="0003407C" w:rsidRPr="00704FB4" w14:paraId="546EC330" w14:textId="77777777" w:rsidTr="00FA25CB">
        <w:trPr>
          <w:cantSplit/>
        </w:trPr>
        <w:tc>
          <w:tcPr>
            <w:tcW w:w="2552" w:type="dxa"/>
          </w:tcPr>
          <w:p w14:paraId="1B240A0E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3519" w:type="dxa"/>
          </w:tcPr>
          <w:p w14:paraId="50A2748E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Повышенный уровень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креатинкиназы</w:t>
            </w:r>
            <w:proofErr w:type="spellEnd"/>
          </w:p>
        </w:tc>
        <w:tc>
          <w:tcPr>
            <w:tcW w:w="4010" w:type="dxa"/>
          </w:tcPr>
          <w:p w14:paraId="035E51A4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07C" w:rsidRPr="00704FB4" w14:paraId="2CD0E0D1" w14:textId="77777777" w:rsidTr="00FA25CB">
        <w:trPr>
          <w:cantSplit/>
        </w:trPr>
        <w:tc>
          <w:tcPr>
            <w:tcW w:w="2552" w:type="dxa"/>
          </w:tcPr>
          <w:p w14:paraId="3842F4A2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3519" w:type="dxa"/>
          </w:tcPr>
          <w:p w14:paraId="7BAFCFC7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22C2F8D6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Рабдомиолиз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1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мышечная слабость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1</w:t>
            </w:r>
          </w:p>
        </w:tc>
      </w:tr>
      <w:tr w:rsidR="0003407C" w:rsidRPr="00704FB4" w14:paraId="108D7CAB" w14:textId="77777777" w:rsidTr="00FA25CB">
        <w:trPr>
          <w:cantSplit/>
        </w:trPr>
        <w:tc>
          <w:tcPr>
            <w:tcW w:w="2552" w:type="dxa"/>
          </w:tcPr>
          <w:p w14:paraId="644D78CE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3519" w:type="dxa"/>
          </w:tcPr>
          <w:p w14:paraId="0B207099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14:paraId="768C576C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14:paraId="0102D322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14:paraId="646A6D6E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010" w:type="dxa"/>
          </w:tcPr>
          <w:p w14:paraId="61F50A00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Остеомаляция (проявляется как боль в костях и нечасто является одной из причин переломов)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1,3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миопатия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1</w:t>
            </w:r>
          </w:p>
        </w:tc>
      </w:tr>
      <w:tr w:rsidR="0003407C" w:rsidRPr="00704FB4" w14:paraId="1EC8107B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1EF4575B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Нарушения со стороны почек и мочевыводящих путей</w:t>
            </w:r>
          </w:p>
        </w:tc>
      </w:tr>
      <w:tr w:rsidR="0003407C" w:rsidRPr="00704FB4" w14:paraId="32DFD1AF" w14:textId="77777777" w:rsidTr="00FA25CB">
        <w:trPr>
          <w:cantSplit/>
        </w:trPr>
        <w:tc>
          <w:tcPr>
            <w:tcW w:w="2552" w:type="dxa"/>
          </w:tcPr>
          <w:p w14:paraId="7C2D1107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3519" w:type="dxa"/>
          </w:tcPr>
          <w:p w14:paraId="67F32B48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76D05F2A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Повышение уровня креатинина, протеинурия, проксимальная почечная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тубулопатия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(в том числе синдром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Фанкони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03407C" w:rsidRPr="00704FB4" w14:paraId="727A244E" w14:textId="77777777" w:rsidTr="00FA25CB">
        <w:trPr>
          <w:cantSplit/>
        </w:trPr>
        <w:tc>
          <w:tcPr>
            <w:tcW w:w="2552" w:type="dxa"/>
          </w:tcPr>
          <w:p w14:paraId="4F7BF121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3519" w:type="dxa"/>
          </w:tcPr>
          <w:p w14:paraId="60DE4E8F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4B78C068" w14:textId="67A0EA3C" w:rsidR="0003407C" w:rsidRPr="00704FB4" w:rsidRDefault="0003407C" w:rsidP="00671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Почечная недостаточность (острая и хроническая), острый тубулярный некроз, нефрит (в том числе острый интерстициальн</w:t>
            </w:r>
            <w:r w:rsidR="00671A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ы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й нефрит)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3</w:t>
            </w: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нефрогенный</w:t>
            </w:r>
            <w:proofErr w:type="spellEnd"/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несахарный диабет</w:t>
            </w:r>
          </w:p>
        </w:tc>
      </w:tr>
      <w:tr w:rsidR="0003407C" w:rsidRPr="00704FB4" w14:paraId="0404DE4D" w14:textId="77777777" w:rsidTr="00FA25CB">
        <w:trPr>
          <w:cantSplit/>
        </w:trPr>
        <w:tc>
          <w:tcPr>
            <w:tcW w:w="10081" w:type="dxa"/>
            <w:gridSpan w:val="3"/>
            <w:shd w:val="clear" w:color="auto" w:fill="D9D9D9"/>
          </w:tcPr>
          <w:p w14:paraId="52CFABF6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Общие расстройства и нарушения в месте введения</w:t>
            </w:r>
          </w:p>
        </w:tc>
      </w:tr>
      <w:tr w:rsidR="0003407C" w:rsidRPr="00704FB4" w14:paraId="7F715ED1" w14:textId="77777777" w:rsidTr="00FA25CB">
        <w:trPr>
          <w:cantSplit/>
        </w:trPr>
        <w:tc>
          <w:tcPr>
            <w:tcW w:w="2552" w:type="dxa"/>
          </w:tcPr>
          <w:p w14:paraId="49D0F2F5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3519" w:type="dxa"/>
          </w:tcPr>
          <w:p w14:paraId="700589AD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</w:tcPr>
          <w:p w14:paraId="1F7FA889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</w:t>
            </w:r>
          </w:p>
        </w:tc>
      </w:tr>
      <w:tr w:rsidR="0003407C" w:rsidRPr="00704FB4" w14:paraId="10FCF9DB" w14:textId="77777777" w:rsidTr="00FA25CB">
        <w:trPr>
          <w:cantSplit/>
        </w:trPr>
        <w:tc>
          <w:tcPr>
            <w:tcW w:w="2552" w:type="dxa"/>
          </w:tcPr>
          <w:p w14:paraId="3B4F69F8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Часто</w:t>
            </w:r>
          </w:p>
        </w:tc>
        <w:tc>
          <w:tcPr>
            <w:tcW w:w="3519" w:type="dxa"/>
          </w:tcPr>
          <w:p w14:paraId="70A11440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Боль, астения</w:t>
            </w:r>
          </w:p>
        </w:tc>
        <w:tc>
          <w:tcPr>
            <w:tcW w:w="4010" w:type="dxa"/>
          </w:tcPr>
          <w:p w14:paraId="6E92CE30" w14:textId="77777777" w:rsidR="0003407C" w:rsidRPr="00704FB4" w:rsidRDefault="0003407C" w:rsidP="00D07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0A081F" w14:textId="77777777" w:rsidR="0003407C" w:rsidRPr="00704FB4" w:rsidRDefault="0003407C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04FB4">
        <w:rPr>
          <w:rFonts w:ascii="Times New Roman" w:eastAsia="Times New Roman" w:hAnsi="Times New Roman" w:cs="Times New Roman"/>
          <w:sz w:val="20"/>
          <w:szCs w:val="24"/>
          <w:vertAlign w:val="superscript"/>
        </w:rPr>
        <w:t xml:space="preserve">1 </w:t>
      </w:r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Данное побочное действие может развиваться вследствие проксимальной почечной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тубулопатии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. Не считается, что оно имеет причинную связь с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тенофовира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дизопроксила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фумаратом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при отсутствии данного состояния. </w:t>
      </w:r>
    </w:p>
    <w:p w14:paraId="1FE664A1" w14:textId="77777777" w:rsidR="0003407C" w:rsidRPr="00704FB4" w:rsidRDefault="0003407C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04FB4">
        <w:rPr>
          <w:rFonts w:ascii="Times New Roman" w:eastAsia="Times New Roman" w:hAnsi="Times New Roman" w:cs="Times New Roman"/>
          <w:sz w:val="20"/>
          <w:szCs w:val="24"/>
          <w:vertAlign w:val="superscript"/>
        </w:rPr>
        <w:t>2</w:t>
      </w:r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В случае применения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эмтрицитабина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у детей сообщения об анемии поступали часто, а о </w:t>
      </w:r>
      <w:r w:rsidRPr="00704FB4">
        <w:rPr>
          <w:rFonts w:ascii="Times New Roman" w:eastAsia="Times New Roman" w:hAnsi="Times New Roman" w:cs="Times New Roman"/>
          <w:bCs/>
          <w:sz w:val="20"/>
          <w:szCs w:val="24"/>
          <w:shd w:val="clear" w:color="auto" w:fill="FFFFFF"/>
          <w:lang w:eastAsia="ru-RU"/>
        </w:rPr>
        <w:t>нарушении пигментации кожи (усиленной пигментация)</w:t>
      </w:r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– очень часто. </w:t>
      </w:r>
    </w:p>
    <w:p w14:paraId="64AF4662" w14:textId="77777777" w:rsidR="0003407C" w:rsidRPr="00704FB4" w:rsidRDefault="0003407C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04FB4">
        <w:rPr>
          <w:rFonts w:ascii="Times New Roman" w:eastAsia="Times New Roman" w:hAnsi="Times New Roman" w:cs="Times New Roman"/>
          <w:sz w:val="20"/>
          <w:szCs w:val="24"/>
          <w:vertAlign w:val="superscript"/>
        </w:rPr>
        <w:t>3</w:t>
      </w:r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Данная побочная реакция была установлена во время пострегистрационного наблюдения, но не регистрировалась ни в рандомизированных, контролируемых клинических исследованиях с участием взрослых ни в клинических исследованиях с применением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эмтрицитабина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с участием ВИЧ-инфицированных детей, ни в рандомизированных контролируемых клинических исследованиях, ни в расширенной программе доступа к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тенофовиру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дизопроксилу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фумарату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. Категория частоты определялась методом статистического расчета, исходя из общего числа пациентов, получавших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эмтрицитабин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в рандомизированных контролируемых клинических исследованиях (n=1.563) или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тенофовир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дизопроксил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sz w:val="20"/>
          <w:szCs w:val="24"/>
        </w:rPr>
        <w:t>фумарат</w:t>
      </w:r>
      <w:proofErr w:type="spellEnd"/>
      <w:r w:rsidRPr="00704FB4">
        <w:rPr>
          <w:rFonts w:ascii="Times New Roman" w:eastAsia="Times New Roman" w:hAnsi="Times New Roman" w:cs="Times New Roman"/>
          <w:sz w:val="20"/>
          <w:szCs w:val="24"/>
        </w:rPr>
        <w:t xml:space="preserve"> в рандомизированных контролируемых клинических исследованиях и в расширенной программе доступа (n=7.319).</w:t>
      </w:r>
    </w:p>
    <w:p w14:paraId="332C0BE6" w14:textId="77777777" w:rsidR="0003407C" w:rsidRPr="00704FB4" w:rsidRDefault="0003407C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4FB4">
        <w:rPr>
          <w:rFonts w:ascii="Times New Roman" w:eastAsia="Times New Roman" w:hAnsi="Times New Roman" w:cs="Times New Roman"/>
          <w:i/>
          <w:sz w:val="24"/>
          <w:szCs w:val="24"/>
        </w:rPr>
        <w:t xml:space="preserve">Описание отдельных </w:t>
      </w:r>
      <w:r w:rsidR="00EC1FF5" w:rsidRPr="00704FB4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нежелательных реакции</w:t>
      </w:r>
    </w:p>
    <w:p w14:paraId="3BD1386B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Нарушение функции почек. 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Поскольку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5A49F0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5A49F0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49F0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5A49F0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49F0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может вызывать поражение почек, рекомендуется тщательное наблюдение за функцией почек (см. раздел </w:t>
      </w:r>
      <w:r w:rsidR="003774E2" w:rsidRPr="00704FB4">
        <w:rPr>
          <w:rFonts w:ascii="Times New Roman" w:eastAsia="Calibri" w:hAnsi="Times New Roman" w:cs="Times New Roman"/>
          <w:sz w:val="24"/>
          <w:szCs w:val="24"/>
        </w:rPr>
        <w:t>4.4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). Проксимальная почечная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тубулопатия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обычно проходила или ее тяжесть снижалась после отмены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. Однако у некоторых ВИЧ-1 инфицированных пациентов снижение почечного клиренса полностью не проходило, несмотря на отмену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. Пациенты с риском поражения почек (например, имеющие до лечения факторы риска поражения почек, с поздними стадиями ВИЧ-инфекции или получающие сопутствующие нефротоксические препараты) имеют риск неполного восстановления функции почек после отмены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(см. раздел </w:t>
      </w:r>
      <w:r w:rsidR="003774E2" w:rsidRPr="00704FB4">
        <w:rPr>
          <w:rFonts w:ascii="Times New Roman" w:eastAsia="Calibri" w:hAnsi="Times New Roman" w:cs="Times New Roman"/>
          <w:sz w:val="24"/>
          <w:szCs w:val="24"/>
        </w:rPr>
        <w:t>4.4</w:t>
      </w:r>
      <w:r w:rsidRPr="00704FB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956F04E" w14:textId="344403A8" w:rsidR="00E17A91" w:rsidRPr="00704FB4" w:rsidRDefault="00E17A91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</w:rPr>
        <w:t>Лактоацидоз</w:t>
      </w:r>
      <w:proofErr w:type="spellEnd"/>
      <w:r w:rsidR="0003407C"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Сообщалось о случаях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лактоацидоза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при применении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отдельно или в комбинации с другими антиретровирусными препаратами. Пациенты с предрасполагающими факторами, например пациенты с декомпенсированным заболеванием печени или пациенты, получающие сопутствующие препараты, которые, как известно, вызывают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лактоацидоз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, подвергаются повышенному риску развития тяжелого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лактоацидоза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во время лечения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>, включая летальные исходы.</w:t>
      </w:r>
    </w:p>
    <w:p w14:paraId="71DDE029" w14:textId="5C7CC323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Параметры метаболизма. 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Вес тела, а также уровни липидов и глюкозы в крови могут повыситься во время антиретровирусной терапии (см. раздел </w:t>
      </w:r>
      <w:r w:rsidR="003774E2" w:rsidRPr="00704FB4">
        <w:rPr>
          <w:rFonts w:ascii="Times New Roman" w:eastAsia="Calibri" w:hAnsi="Times New Roman" w:cs="Times New Roman"/>
          <w:sz w:val="24"/>
          <w:szCs w:val="24"/>
        </w:rPr>
        <w:t>4.4</w:t>
      </w:r>
      <w:r w:rsidRPr="00704FB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7ED74AF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Синдром иммунной реактивации. 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У ВИЧ-инфицированных пациентов с тяжелой иммунной недостаточностью во время введения комбинированной антиретровирусной терапии (КАРТ) может возникнуть воспалительная реакция на бессимптомные или остаточные оппортунистические инфекции. Были также отмечены аутоиммунные нарушения (например, болезнь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Грейвса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), однако зарегистрированные сроки их возникновения более вариабельны и эти явления могут развиваться через много месяцев после начала приема препарата (см. раздел </w:t>
      </w:r>
      <w:r w:rsidR="00253290" w:rsidRPr="00704FB4">
        <w:rPr>
          <w:rFonts w:ascii="Times New Roman" w:eastAsia="Calibri" w:hAnsi="Times New Roman" w:cs="Times New Roman"/>
          <w:sz w:val="24"/>
          <w:szCs w:val="24"/>
        </w:rPr>
        <w:t>4.4</w:t>
      </w:r>
      <w:r w:rsidRPr="00704FB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BA25E14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</w:rPr>
        <w:t>Остеонекроз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Сообщалось о случаях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остеонекроза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, в особенности у пациентов с общепринятыми факторами риска, поздними стадиями ВИЧ-инфекции или длительным применением КАРТ. Частота таких случаев неизвестна (см. раздел </w:t>
      </w:r>
      <w:r w:rsidR="00253290" w:rsidRPr="00704FB4">
        <w:rPr>
          <w:rFonts w:ascii="Times New Roman" w:eastAsia="Calibri" w:hAnsi="Times New Roman" w:cs="Times New Roman"/>
          <w:sz w:val="24"/>
          <w:szCs w:val="24"/>
        </w:rPr>
        <w:t>4.4</w:t>
      </w:r>
      <w:r w:rsidRPr="00704FB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EFFEC73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>Другие особые группы</w:t>
      </w:r>
    </w:p>
    <w:p w14:paraId="7B1EC0AE" w14:textId="775539C4" w:rsidR="00B14198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Пациенты с нарушением функции почек. 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Поскольку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может обладать токсическим действием на почки, рекомендуется тщательное наблюдение за функциями почек у всех взрослых пациентов с нарушениями функций почек, получающих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</w:rPr>
        <w:t>тенофовир</w:t>
      </w:r>
      <w:r w:rsidR="005722DA" w:rsidRPr="00704FB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5722DA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722DA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5722DA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722DA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 (см. разделы </w:t>
      </w:r>
      <w:r w:rsidR="00747489" w:rsidRPr="00704FB4">
        <w:rPr>
          <w:rFonts w:ascii="Times New Roman" w:eastAsia="Calibri" w:hAnsi="Times New Roman" w:cs="Times New Roman"/>
          <w:sz w:val="24"/>
          <w:szCs w:val="24"/>
        </w:rPr>
        <w:t>4.2, 4.4 и 5.2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="00D07B39" w:rsidRPr="00704FB4">
        <w:rPr>
          <w:rFonts w:ascii="Times New Roman" w:eastAsia="Calibri" w:hAnsi="Times New Roman" w:cs="Times New Roman"/>
          <w:sz w:val="24"/>
          <w:szCs w:val="24"/>
        </w:rPr>
        <w:t>Эмтрицитабин</w:t>
      </w:r>
      <w:proofErr w:type="spellEnd"/>
      <w:r w:rsidR="00D07B39"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D07B39"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="00D07B39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7B39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D07B39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7B39" w:rsidRPr="00704FB4">
        <w:rPr>
          <w:rFonts w:ascii="Times New Roman" w:eastAsia="Calibri" w:hAnsi="Times New Roman" w:cs="Times New Roman"/>
          <w:sz w:val="24"/>
          <w:szCs w:val="24"/>
        </w:rPr>
        <w:t>фумарат</w:t>
      </w:r>
      <w:proofErr w:type="spellEnd"/>
      <w:r w:rsidR="00D07B39" w:rsidRPr="00704FB4">
        <w:rPr>
          <w:rFonts w:ascii="Times New Roman" w:eastAsia="Calibri" w:hAnsi="Times New Roman" w:cs="Times New Roman"/>
          <w:sz w:val="24"/>
          <w:szCs w:val="24"/>
        </w:rPr>
        <w:t xml:space="preserve"> не рекомендуется лицам младше 18 лет с почечной недостаточностью (см. разделы 4.2 и 4.4).</w:t>
      </w:r>
    </w:p>
    <w:p w14:paraId="65D2C94C" w14:textId="646CF863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Пациенты с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</w:rPr>
        <w:t>коинфекцией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 ВИЧ/ВГВ или ВИЧ/ВГС. </w:t>
      </w:r>
      <w:r w:rsidR="00D07B39" w:rsidRPr="00704FB4">
        <w:rPr>
          <w:rFonts w:ascii="Times New Roman" w:eastAsia="Calibri" w:hAnsi="Times New Roman" w:cs="Times New Roman"/>
          <w:sz w:val="24"/>
          <w:szCs w:val="24"/>
        </w:rPr>
        <w:t xml:space="preserve">Профиль побочных реакций </w:t>
      </w:r>
      <w:proofErr w:type="spellStart"/>
      <w:r w:rsidR="00D07B39" w:rsidRPr="00704FB4">
        <w:rPr>
          <w:rFonts w:ascii="Times New Roman" w:eastAsia="Calibri" w:hAnsi="Times New Roman" w:cs="Times New Roman"/>
          <w:sz w:val="24"/>
          <w:szCs w:val="24"/>
        </w:rPr>
        <w:t>эмтрицитабина</w:t>
      </w:r>
      <w:proofErr w:type="spellEnd"/>
      <w:r w:rsidR="00D07B39" w:rsidRPr="0070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D07B39" w:rsidRPr="00704FB4">
        <w:rPr>
          <w:rFonts w:ascii="Times New Roman" w:eastAsia="Calibri" w:hAnsi="Times New Roman" w:cs="Times New Roman"/>
          <w:sz w:val="24"/>
          <w:szCs w:val="24"/>
        </w:rPr>
        <w:t>тенофовира</w:t>
      </w:r>
      <w:proofErr w:type="spellEnd"/>
      <w:r w:rsidR="00D07B39" w:rsidRPr="0070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7B39" w:rsidRPr="00704FB4">
        <w:rPr>
          <w:rFonts w:ascii="Times New Roman" w:eastAsia="Calibri" w:hAnsi="Times New Roman" w:cs="Times New Roman"/>
          <w:sz w:val="24"/>
          <w:szCs w:val="24"/>
        </w:rPr>
        <w:t>дизопроксила</w:t>
      </w:r>
      <w:proofErr w:type="spellEnd"/>
      <w:r w:rsidR="00D07B39" w:rsidRPr="00704FB4">
        <w:rPr>
          <w:rFonts w:ascii="Times New Roman" w:eastAsia="Calibri" w:hAnsi="Times New Roman" w:cs="Times New Roman"/>
          <w:sz w:val="24"/>
          <w:szCs w:val="24"/>
        </w:rPr>
        <w:t xml:space="preserve"> у ограниченного числа ВИЧ-инфицированных пациентов в исследовании GS-01-934, </w:t>
      </w:r>
      <w:proofErr w:type="spellStart"/>
      <w:r w:rsidR="00D07B39" w:rsidRPr="00704FB4">
        <w:rPr>
          <w:rFonts w:ascii="Times New Roman" w:eastAsia="Calibri" w:hAnsi="Times New Roman" w:cs="Times New Roman"/>
          <w:sz w:val="24"/>
          <w:szCs w:val="24"/>
        </w:rPr>
        <w:t>коинфицированных</w:t>
      </w:r>
      <w:proofErr w:type="spellEnd"/>
      <w:r w:rsidR="00D07B39" w:rsidRPr="00704FB4">
        <w:rPr>
          <w:rFonts w:ascii="Times New Roman" w:eastAsia="Calibri" w:hAnsi="Times New Roman" w:cs="Times New Roman"/>
          <w:sz w:val="24"/>
          <w:szCs w:val="24"/>
        </w:rPr>
        <w:t xml:space="preserve"> ВГВ (n = 13) или ВГС (n = 26) был схож с профилем в исследовании GS-01-934 у пациентов, инфицированных ВИЧ без сопутствующей инфекции. Однако, в данной группе пациентов повышение АСТ и АЛТ происходило чаще, чем в общей популяции ВИЧ-инфицированных.</w:t>
      </w:r>
    </w:p>
    <w:p w14:paraId="62814CA3" w14:textId="77777777" w:rsidR="0003407C" w:rsidRPr="00704FB4" w:rsidRDefault="0003407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sz w:val="24"/>
          <w:szCs w:val="24"/>
        </w:rPr>
        <w:t xml:space="preserve">Обострения гепатита после прекращения приема препарата. </w:t>
      </w:r>
      <w:r w:rsidRPr="00704FB4">
        <w:rPr>
          <w:rFonts w:ascii="Times New Roman" w:eastAsia="Calibri" w:hAnsi="Times New Roman" w:cs="Times New Roman"/>
          <w:sz w:val="24"/>
          <w:szCs w:val="24"/>
        </w:rPr>
        <w:t xml:space="preserve">У ВГВ-инфицированных пациентов после прекращения приема препарата наблюдались клинические и лабораторные признаки гепатита (см. раздел </w:t>
      </w:r>
      <w:r w:rsidR="00747489" w:rsidRPr="00704FB4">
        <w:rPr>
          <w:rFonts w:ascii="Times New Roman" w:eastAsia="Calibri" w:hAnsi="Times New Roman" w:cs="Times New Roman"/>
          <w:sz w:val="24"/>
          <w:szCs w:val="24"/>
        </w:rPr>
        <w:t>4.4</w:t>
      </w:r>
      <w:r w:rsidRPr="00704FB4">
        <w:rPr>
          <w:rFonts w:ascii="Times New Roman" w:eastAsia="Calibri" w:hAnsi="Times New Roman" w:cs="Times New Roman"/>
          <w:sz w:val="24"/>
          <w:szCs w:val="24"/>
        </w:rPr>
        <w:t>)</w:t>
      </w:r>
      <w:r w:rsidRPr="00704FB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0395E14D" w14:textId="77777777" w:rsidR="00D073DF" w:rsidRPr="00704FB4" w:rsidRDefault="00D073DF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F0FB6D" w14:textId="77777777" w:rsidR="00D76AB5" w:rsidRPr="00704FB4" w:rsidRDefault="00D76AB5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62EA3DC4" w14:textId="77777777" w:rsidR="00D76AB5" w:rsidRPr="00704FB4" w:rsidRDefault="00D76AB5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14:paraId="4F5078BF" w14:textId="4F17DBF3" w:rsidR="00D76AB5" w:rsidRPr="00704FB4" w:rsidRDefault="00D76AB5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 xml:space="preserve">РГП на ПХВ «Национальный Центр экспертизы лекарственных средств и медицинских изделий» </w:t>
      </w:r>
      <w:bookmarkStart w:id="0" w:name="_Hlk128987870"/>
      <w:r w:rsidR="005E2874">
        <w:rPr>
          <w:rFonts w:ascii="Times New Roman" w:hAnsi="Times New Roman" w:cs="Times New Roman"/>
          <w:sz w:val="24"/>
          <w:szCs w:val="24"/>
        </w:rPr>
        <w:t>Комитет</w:t>
      </w:r>
      <w:r w:rsidR="00671AE9">
        <w:rPr>
          <w:rFonts w:ascii="Times New Roman" w:hAnsi="Times New Roman" w:cs="Times New Roman"/>
          <w:sz w:val="24"/>
          <w:szCs w:val="24"/>
        </w:rPr>
        <w:t>а</w:t>
      </w:r>
      <w:r w:rsidR="005E2874">
        <w:rPr>
          <w:rFonts w:ascii="Times New Roman" w:hAnsi="Times New Roman" w:cs="Times New Roman"/>
          <w:sz w:val="24"/>
          <w:szCs w:val="24"/>
        </w:rPr>
        <w:t xml:space="preserve"> медицинского и фармацевтического контроля Министерства здравоохранения Республики Казахстан</w:t>
      </w:r>
      <w:bookmarkEnd w:id="0"/>
    </w:p>
    <w:p w14:paraId="5D350A7B" w14:textId="77777777" w:rsidR="00D76AB5" w:rsidRPr="00704FB4" w:rsidRDefault="00D3157C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76AB5" w:rsidRPr="00704FB4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http</w:t>
        </w:r>
        <w:r w:rsidR="00D76AB5" w:rsidRPr="00704FB4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://</w:t>
        </w:r>
        <w:r w:rsidR="00D76AB5" w:rsidRPr="00704FB4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www</w:t>
        </w:r>
        <w:r w:rsidR="00D76AB5" w:rsidRPr="00704FB4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D76AB5" w:rsidRPr="00704FB4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ndda</w:t>
        </w:r>
        <w:proofErr w:type="spellEnd"/>
        <w:r w:rsidR="00D76AB5" w:rsidRPr="00704FB4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D76AB5" w:rsidRPr="00704FB4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kz</w:t>
        </w:r>
        <w:proofErr w:type="spellEnd"/>
      </w:hyperlink>
      <w:r w:rsidR="00D76AB5" w:rsidRPr="00704F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FFB61" w14:textId="77777777" w:rsidR="00D76AB5" w:rsidRPr="00704FB4" w:rsidRDefault="00D76AB5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BAB40" w14:textId="77777777" w:rsidR="00055682" w:rsidRPr="00704FB4" w:rsidRDefault="00B56A91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4.9. Передозировка</w:t>
      </w:r>
    </w:p>
    <w:p w14:paraId="5FA5AF7B" w14:textId="77777777" w:rsidR="00055682" w:rsidRPr="00704FB4" w:rsidRDefault="0005568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i/>
          <w:sz w:val="24"/>
          <w:szCs w:val="24"/>
        </w:rPr>
        <w:t xml:space="preserve">Симптомы: </w:t>
      </w:r>
      <w:r w:rsidR="0003407C" w:rsidRPr="00704FB4">
        <w:rPr>
          <w:rFonts w:ascii="Times New Roman" w:hAnsi="Times New Roman" w:cs="Times New Roman"/>
          <w:sz w:val="24"/>
          <w:szCs w:val="24"/>
        </w:rPr>
        <w:t xml:space="preserve">в случае передозировки пациент должен находиться под наблюдением относительно признаков токсичности (см. раздел </w:t>
      </w:r>
      <w:r w:rsidR="003B7A9C" w:rsidRPr="00704FB4">
        <w:rPr>
          <w:rFonts w:ascii="Times New Roman" w:hAnsi="Times New Roman" w:cs="Times New Roman"/>
          <w:sz w:val="24"/>
          <w:szCs w:val="24"/>
        </w:rPr>
        <w:t>4.8</w:t>
      </w:r>
      <w:r w:rsidR="0003407C" w:rsidRPr="00704F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249FDD6" w14:textId="77777777" w:rsidR="00055682" w:rsidRPr="00704FB4" w:rsidRDefault="0005568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i/>
          <w:sz w:val="24"/>
          <w:szCs w:val="24"/>
        </w:rPr>
        <w:t>Лечение:</w:t>
      </w:r>
      <w:r w:rsidRPr="00704FB4">
        <w:rPr>
          <w:rFonts w:ascii="Times New Roman" w:hAnsi="Times New Roman" w:cs="Times New Roman"/>
          <w:sz w:val="24"/>
          <w:szCs w:val="24"/>
        </w:rPr>
        <w:t xml:space="preserve"> </w:t>
      </w:r>
      <w:r w:rsidR="0003407C" w:rsidRPr="00704FB4">
        <w:rPr>
          <w:rFonts w:ascii="Times New Roman" w:hAnsi="Times New Roman" w:cs="Times New Roman"/>
          <w:sz w:val="24"/>
          <w:szCs w:val="24"/>
        </w:rPr>
        <w:t xml:space="preserve">при необходимости следует применять стандартную поддерживающую терапию. </w:t>
      </w:r>
      <w:r w:rsidR="0003407C" w:rsidRPr="00704FB4">
        <w:rPr>
          <w:rFonts w:ascii="Times New Roman" w:hAnsi="Times New Roman" w:cs="Times New Roman"/>
          <w:sz w:val="24"/>
          <w:szCs w:val="24"/>
          <w:lang w:bidi="ar-IQ"/>
        </w:rPr>
        <w:t xml:space="preserve">До 30 % дозы </w:t>
      </w:r>
      <w:proofErr w:type="spellStart"/>
      <w:r w:rsidR="0003407C" w:rsidRPr="00704FB4">
        <w:rPr>
          <w:rFonts w:ascii="Times New Roman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="0003407C" w:rsidRPr="00704FB4">
        <w:rPr>
          <w:rFonts w:ascii="Times New Roman" w:hAnsi="Times New Roman" w:cs="Times New Roman"/>
          <w:sz w:val="24"/>
          <w:szCs w:val="24"/>
          <w:lang w:bidi="ar-IQ"/>
        </w:rPr>
        <w:t xml:space="preserve"> и приблизительно 10 % дозы </w:t>
      </w:r>
      <w:proofErr w:type="spellStart"/>
      <w:r w:rsidR="0003407C" w:rsidRPr="00704FB4">
        <w:rPr>
          <w:rFonts w:ascii="Times New Roman" w:hAnsi="Times New Roman" w:cs="Times New Roman"/>
          <w:sz w:val="24"/>
          <w:szCs w:val="24"/>
          <w:lang w:bidi="ar-IQ"/>
        </w:rPr>
        <w:t>тенофовира</w:t>
      </w:r>
      <w:proofErr w:type="spellEnd"/>
      <w:r w:rsidR="0003407C" w:rsidRPr="00704FB4">
        <w:rPr>
          <w:rFonts w:ascii="Times New Roman" w:hAnsi="Times New Roman" w:cs="Times New Roman"/>
          <w:sz w:val="24"/>
          <w:szCs w:val="24"/>
        </w:rPr>
        <w:t xml:space="preserve"> может выводиться с помощью гемодиализа. Неизвестно, выводятся ли </w:t>
      </w:r>
      <w:proofErr w:type="spellStart"/>
      <w:r w:rsidR="0003407C" w:rsidRPr="00704FB4">
        <w:rPr>
          <w:rFonts w:ascii="Times New Roman" w:hAnsi="Times New Roman" w:cs="Times New Roman"/>
          <w:sz w:val="24"/>
          <w:szCs w:val="24"/>
        </w:rPr>
        <w:t>эмтрицитабин</w:t>
      </w:r>
      <w:proofErr w:type="spellEnd"/>
      <w:r w:rsidR="0003407C" w:rsidRPr="00704F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3407C" w:rsidRPr="00704FB4">
        <w:rPr>
          <w:rFonts w:ascii="Times New Roman" w:hAnsi="Times New Roman" w:cs="Times New Roman"/>
          <w:sz w:val="24"/>
          <w:szCs w:val="24"/>
        </w:rPr>
        <w:t>тенофовир</w:t>
      </w:r>
      <w:proofErr w:type="spellEnd"/>
      <w:r w:rsidR="0003407C" w:rsidRPr="00704FB4">
        <w:rPr>
          <w:rFonts w:ascii="Times New Roman" w:hAnsi="Times New Roman" w:cs="Times New Roman"/>
          <w:sz w:val="24"/>
          <w:szCs w:val="24"/>
        </w:rPr>
        <w:t xml:space="preserve"> с помощью </w:t>
      </w:r>
      <w:proofErr w:type="spellStart"/>
      <w:r w:rsidR="0003407C" w:rsidRPr="00704FB4">
        <w:rPr>
          <w:rFonts w:ascii="Times New Roman" w:hAnsi="Times New Roman" w:cs="Times New Roman"/>
          <w:sz w:val="24"/>
          <w:szCs w:val="24"/>
        </w:rPr>
        <w:t>перитонеального</w:t>
      </w:r>
      <w:proofErr w:type="spellEnd"/>
      <w:r w:rsidR="0003407C" w:rsidRPr="00704FB4">
        <w:rPr>
          <w:rFonts w:ascii="Times New Roman" w:hAnsi="Times New Roman" w:cs="Times New Roman"/>
          <w:sz w:val="24"/>
          <w:szCs w:val="24"/>
        </w:rPr>
        <w:t xml:space="preserve"> диализа.</w:t>
      </w:r>
    </w:p>
    <w:p w14:paraId="1B9BFA1F" w14:textId="77777777" w:rsidR="00B56A91" w:rsidRPr="00704FB4" w:rsidRDefault="00B56A91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74902" w14:textId="77777777" w:rsidR="00A72229" w:rsidRPr="00704FB4" w:rsidRDefault="00B56A91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5. ФАРМАКОЛОГИЧЕСКИЕ СВОЙСТВА</w:t>
      </w:r>
    </w:p>
    <w:p w14:paraId="6318B215" w14:textId="77777777" w:rsidR="00A72229" w:rsidRPr="00704FB4" w:rsidRDefault="00B56A91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5.1. Фармакодинамические свойства</w:t>
      </w:r>
    </w:p>
    <w:p w14:paraId="4574C019" w14:textId="77777777" w:rsidR="005D15DC" w:rsidRPr="00704FB4" w:rsidRDefault="00A72229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 xml:space="preserve">Фармакотерапевтическая группа: </w:t>
      </w:r>
      <w:r w:rsidR="00067FDD" w:rsidRPr="00704FB4">
        <w:rPr>
          <w:rFonts w:ascii="Times New Roman" w:hAnsi="Times New Roman" w:cs="Times New Roman"/>
          <w:sz w:val="24"/>
          <w:szCs w:val="24"/>
        </w:rPr>
        <w:t>П</w:t>
      </w:r>
      <w:r w:rsidR="005D15DC" w:rsidRPr="00704FB4">
        <w:rPr>
          <w:rFonts w:ascii="Times New Roman" w:hAnsi="Times New Roman" w:cs="Times New Roman"/>
          <w:sz w:val="24"/>
          <w:szCs w:val="24"/>
        </w:rPr>
        <w:t xml:space="preserve">ротивовирусные препараты для системного применения. Противовирусные препараты прямого действия. Противовирусные </w:t>
      </w:r>
      <w:r w:rsidR="00067FDD" w:rsidRPr="00704FB4">
        <w:rPr>
          <w:rFonts w:ascii="Times New Roman" w:hAnsi="Times New Roman" w:cs="Times New Roman"/>
          <w:sz w:val="24"/>
          <w:szCs w:val="24"/>
        </w:rPr>
        <w:t>препараты</w:t>
      </w:r>
      <w:r w:rsidR="005D15DC" w:rsidRPr="00704FB4">
        <w:rPr>
          <w:rFonts w:ascii="Times New Roman" w:hAnsi="Times New Roman" w:cs="Times New Roman"/>
          <w:sz w:val="24"/>
          <w:szCs w:val="24"/>
        </w:rPr>
        <w:t xml:space="preserve"> для лечения ВИЧ-инфекции, комбинации. </w:t>
      </w:r>
      <w:proofErr w:type="spellStart"/>
      <w:r w:rsidR="005D15DC" w:rsidRPr="00704FB4">
        <w:rPr>
          <w:rFonts w:ascii="Times New Roman" w:hAnsi="Times New Roman" w:cs="Times New Roman"/>
          <w:bCs/>
          <w:sz w:val="24"/>
          <w:szCs w:val="24"/>
        </w:rPr>
        <w:t>Тенофовира</w:t>
      </w:r>
      <w:proofErr w:type="spellEnd"/>
      <w:r w:rsidR="005D15DC" w:rsidRPr="00704F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D15DC" w:rsidRPr="00704FB4">
        <w:rPr>
          <w:rFonts w:ascii="Times New Roman" w:hAnsi="Times New Roman" w:cs="Times New Roman"/>
          <w:bCs/>
          <w:sz w:val="24"/>
          <w:szCs w:val="24"/>
        </w:rPr>
        <w:t>дизопроксил</w:t>
      </w:r>
      <w:proofErr w:type="spellEnd"/>
      <w:r w:rsidR="005D15DC" w:rsidRPr="00704FB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5D15DC" w:rsidRPr="00704FB4">
        <w:rPr>
          <w:rFonts w:ascii="Times New Roman" w:hAnsi="Times New Roman" w:cs="Times New Roman"/>
          <w:bCs/>
          <w:sz w:val="24"/>
          <w:szCs w:val="24"/>
        </w:rPr>
        <w:t>эмтрицитабин</w:t>
      </w:r>
      <w:proofErr w:type="spellEnd"/>
      <w:r w:rsidR="005D15DC" w:rsidRPr="00704F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FA4B36" w14:textId="77777777" w:rsidR="00A72229" w:rsidRPr="00704FB4" w:rsidRDefault="00A72229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 xml:space="preserve">Код АТХ </w:t>
      </w:r>
      <w:r w:rsidR="005D15DC" w:rsidRPr="00704FB4">
        <w:rPr>
          <w:rFonts w:ascii="Times New Roman" w:hAnsi="Times New Roman" w:cs="Times New Roman"/>
          <w:sz w:val="24"/>
          <w:szCs w:val="24"/>
        </w:rPr>
        <w:t>J05АR03</w:t>
      </w:r>
    </w:p>
    <w:p w14:paraId="5F241F12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Механизм действия</w:t>
      </w:r>
    </w:p>
    <w:p w14:paraId="07C8E82F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– это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нуклеозидный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аналог цитидина.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превращается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vivo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в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нуклеозид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монофосфат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(нуклеотид) аналог аденозин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монофосфата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Как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так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проявляют активность, которая является специфичной к вирусу иммунодефицита человека (ВИЧ-1 и ВИЧ-2) и вирусу гепатита В.</w:t>
      </w:r>
    </w:p>
    <w:p w14:paraId="4180031A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фосфорилируются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клеточными ферментами с образованием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трифосфата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дифосфата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соответственно. Исследования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vitro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показали, что как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так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могут полностью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фосфорилироваться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клетках при совместной комбинации.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трифосфат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дифосфат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конкурентно ингибируют обратную транскриптазу ВИЧ-1, что приводит к прерыванию ДНК цепи вируса.</w:t>
      </w:r>
    </w:p>
    <w:p w14:paraId="6703E6D7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дифосфат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являются слабыми ингибиторами полимеразы ДНК млекопитающих, признаки их митохондриальной токсичности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vitro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vivo</w:t>
      </w:r>
      <w:proofErr w:type="spellEnd"/>
      <w:r w:rsidRPr="00704FB4">
        <w:rPr>
          <w:rFonts w:ascii="Times New Roman" w:eastAsia="Calibri" w:hAnsi="Times New Roman" w:cs="Times New Roman"/>
          <w:iCs/>
          <w:sz w:val="24"/>
          <w:szCs w:val="24"/>
          <w:lang w:bidi="ar-IQ"/>
        </w:rPr>
        <w:t xml:space="preserve"> отсутствуют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.</w:t>
      </w:r>
    </w:p>
    <w:p w14:paraId="1BBBC39D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lastRenderedPageBreak/>
        <w:t xml:space="preserve">Антивирусная активность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vitro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 </w:t>
      </w:r>
    </w:p>
    <w:p w14:paraId="0D4C1B08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Синергическая антивирусная активность наблюдалась при комбинации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vitro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Дополнения к синергическим эффектам наблюдали во время комбинированных исследований с ингибиторами протеазы и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нуклеозидными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ненуклеозидными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аналогами ингибиторов обратной транскриптазы ВИЧ.</w:t>
      </w:r>
    </w:p>
    <w:p w14:paraId="3BB5AFD6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Резистентность</w:t>
      </w:r>
    </w:p>
    <w:p w14:paraId="44278BD8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>vitro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.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Резистентность наблюдалась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vitro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у некоторых пациентов, инфицированных ВИЧ-1, в связи с развитием замещения M184V/I при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эмтрицитабине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или замещения K65R при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тенофовире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-резистентные вирусы с замещением M184V/I были кросс-резистентными 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ламивудину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но сохраняли чувствительность 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диданозину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ставудину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зидовудину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Замещение K65R может также быть отобрано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абакавиром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диданозином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приводит к сниженной чувствительности к этим средствам, а также 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ламивудину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Пациентам с ВИЧ-1, которые имеют замещение K65R, следует избегать применения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Кроме того, замещение K70E в обратной транскриптазе ВИЧ-1 было отобрано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приводило к снижению чувствительности 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абакавиру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ламивудину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.</w:t>
      </w:r>
    </w:p>
    <w:p w14:paraId="3C2CB4E9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ВИЧ-1, экспрессирующий три или более замещений, связанных с аналогом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тимидина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thymidine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analogue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associated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mutations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–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TAMs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), которые включали замещение M41L или L210W в обратной транскриптазе, проявляли сниженную чувствительность 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.</w:t>
      </w:r>
    </w:p>
    <w:p w14:paraId="1A252783" w14:textId="77777777" w:rsidR="005D15DC" w:rsidRPr="00704FB4" w:rsidRDefault="00174EF4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vivo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лечение ВИЧ-1. </w:t>
      </w:r>
      <w:r w:rsidR="005D15DC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В ходе открытого рандомизированного клинического исследования (GS-01-934) у пациентов, которые раньше не получали лечения антиретровирусными препаратами, генотипирование проводилось на изолятах ВИЧ-1 из плазмы крови всех пациентов с подтвержденной ВИЧ РНК &gt;400 копий/мл на 48, 96 или 144 неделе, либо на момент преждевременного прекращения введения исследуемого препарата. По состоянию на 144 неделю:</w:t>
      </w:r>
    </w:p>
    <w:p w14:paraId="1E699067" w14:textId="77777777" w:rsidR="005D15DC" w:rsidRPr="00704FB4" w:rsidRDefault="005D15DC" w:rsidP="00DF7309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в соответствии с проведенным анализом, замещение M184V/I развилось у 2 из 19 (10.5 %) изолятов, полученных от пациентов в группе, которые получали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эфавиренз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и у 10 из 29 (34.5 %) изолятов, проанализированных у пациентов группы, которые получали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ламивудин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зидовудин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эфавиренз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(значение р &lt; 0.05, сравнение по точному критерию Фишера среди всех пациентов группы, которые получали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+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со всеми пациентами группы, которые получали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ламивудин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зидовудин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);</w:t>
      </w:r>
    </w:p>
    <w:p w14:paraId="52D581A7" w14:textId="77777777" w:rsidR="005D15DC" w:rsidRPr="00704FB4" w:rsidRDefault="005D15DC" w:rsidP="00DF7309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ни один из проанализированных вирусов не содержал замещения K65R или K70E;</w:t>
      </w:r>
    </w:p>
    <w:p w14:paraId="63DBD362" w14:textId="77777777" w:rsidR="004155FC" w:rsidRPr="00704FB4" w:rsidRDefault="005D15DC" w:rsidP="00DF7309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генотипическая резистентность 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эфавирензу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главным образом замещение K103N, развилась у вируса, полученного от 13 из 19 (68 %) пациентов в группе, которые получали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/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эфавиренз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, в сравнении с 21 из 29 (72 %) пациентов в группе сравнения.</w:t>
      </w:r>
    </w:p>
    <w:p w14:paraId="03495024" w14:textId="77777777" w:rsidR="00174EF4" w:rsidRPr="00704FB4" w:rsidRDefault="00174EF4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vivo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(процесс или реакция в живом организме) —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доконтактная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профилактика.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Образцы плазмы, полученные в ходе 2 клинических исследований ВИЧ-неинфицированных пациентов, были проанализированы на 4 варианта, экспрессирующих аминокислотные замены ВИЧ-1 (т.е. K65R, К70Е, M184V и M184I), которые потенциально обеспечивают резистентность 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В одном из исследований не выявлено никаких вариантов ВИЧ-1, экспрессирующих мутации K65R, К70Е, M184V или M184I к моменту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сероконверсии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пациентов, инфицированных ВИЧ-1 после включения в исследование. У 3 из 10 пациентов с острой ВИЧ-инфекцией на момент включения в исследование вирусные мутации M184I и M184V обнаружены у 2 из 2 пациентов из группы, принимавшей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и 1 из 8 пациентов из группы плацебо. В ходе другого клинического исследования не выявлено никаких вариантов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lastRenderedPageBreak/>
        <w:t xml:space="preserve">ВИЧ-1, экспрессирующих мутации K65R, К70Е, M184V или M184I на момент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сероконверсии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пациентов, инфицированных ВИЧ-1 в ходе исследования. У 2 из 14 пациентов с острой ВИЧ-инфекцией на момент включения в исследование у 1 из 5 пациентов в группе, получавшей 245 мг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(в форме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), выявлена мутация K65R ВИЧ, а у 1 из 3 пациентов из группы, принимавшей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обнаружили мутацию M184V (связанную с резистентностью 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).</w:t>
      </w:r>
    </w:p>
    <w:p w14:paraId="2E941A05" w14:textId="77777777" w:rsidR="00F20C90" w:rsidRPr="00704FB4" w:rsidRDefault="00F20C90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  <w:u w:val="single"/>
        </w:rPr>
        <w:t>Клинические данные</w:t>
      </w:r>
    </w:p>
    <w:p w14:paraId="02B6FA5A" w14:textId="77777777" w:rsidR="00F20C90" w:rsidRPr="00704FB4" w:rsidRDefault="003C0799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Лечение ВИЧ-1 инфекции.</w:t>
      </w:r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 В открытом рандомизированном клиническом исследовании (GS-01-934) взрослые пациенты, инфицированные ВИЧ-1, не получавшие ранее лечение антиретровирусными препаратами, принимали либо комбинацию </w:t>
      </w:r>
      <w:proofErr w:type="spellStart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эмтрицитабина</w:t>
      </w:r>
      <w:proofErr w:type="spellEnd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тенофовира</w:t>
      </w:r>
      <w:proofErr w:type="spellEnd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дизопроксила</w:t>
      </w:r>
      <w:proofErr w:type="spellEnd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эфавиренза</w:t>
      </w:r>
      <w:proofErr w:type="spellEnd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сутки (n=255), либо фиксированную комбинацию </w:t>
      </w:r>
      <w:proofErr w:type="spellStart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ламивудина</w:t>
      </w:r>
      <w:proofErr w:type="spellEnd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зидовудина</w:t>
      </w:r>
      <w:proofErr w:type="spellEnd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, вводимую два раза в сутки, и </w:t>
      </w:r>
      <w:proofErr w:type="spellStart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эфавиренз</w:t>
      </w:r>
      <w:proofErr w:type="spellEnd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сутки (n=254). Пациентам из группы, получавшей </w:t>
      </w:r>
      <w:proofErr w:type="spellStart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эмтрицитабин</w:t>
      </w:r>
      <w:proofErr w:type="spellEnd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тенофов</w:t>
      </w:r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>ира</w:t>
      </w:r>
      <w:proofErr w:type="spellEnd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>дизопроксил</w:t>
      </w:r>
      <w:proofErr w:type="spellEnd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, вводили </w:t>
      </w:r>
      <w:proofErr w:type="spellStart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>эмтрицитабин</w:t>
      </w:r>
      <w:proofErr w:type="spellEnd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>тенофовира</w:t>
      </w:r>
      <w:proofErr w:type="spellEnd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>дизопроксила</w:t>
      </w:r>
      <w:proofErr w:type="spellEnd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>фумарат</w:t>
      </w:r>
      <w:proofErr w:type="spellEnd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эфавиренз</w:t>
      </w:r>
      <w:proofErr w:type="spellEnd"/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с 96 по 144 неделю. В начале исследования рандомизированные группы демонстрировали сходные медианные показатели РНК ВИЧ-1 в плазме (5,02 и 5,00 log</w:t>
      </w:r>
      <w:r w:rsidR="00F20C90" w:rsidRPr="00704FB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10</w:t>
      </w:r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копий/мл) и количество клеток CD4 (233 и 241 клеток/мм</w:t>
      </w:r>
      <w:r w:rsidR="00F20C90" w:rsidRPr="00704FB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F20C90" w:rsidRPr="00704FB4">
        <w:rPr>
          <w:rFonts w:ascii="Times New Roman" w:hAnsi="Times New Roman" w:cs="Times New Roman"/>
          <w:color w:val="000000"/>
          <w:sz w:val="24"/>
          <w:szCs w:val="24"/>
        </w:rPr>
        <w:t>). Первичной конечной точкой определения эффективности для этого исследования считалось достижение и поддержание подтвержденных концентраций РНК ВИЧ-1 &lt; 400 копий/мл в течение 48 недель. Вторичный анализ эффективности в течение 144 недель охватывал долю пациентов с концентрациями РНК ВИЧ-1 &lt; 400 или &lt; 50 копий/мл и изменением количества клеток CD4 по сравнению с исходным уровнем.</w:t>
      </w:r>
    </w:p>
    <w:p w14:paraId="40AF1295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Данные о первичной конечной точке за 48 недель показали, что комбинация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эмтрицитабина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тенофовира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дизопроксила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эфавиренза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более высокую антивирусную эффективность по сравнению с фиксированной комбинацией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ламивудина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зидовудина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эфавирензом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показанным в Таблице 4. Данные о вторичной конечной точке за 144 недели также представлены в Таблице 4.</w:t>
      </w:r>
    </w:p>
    <w:p w14:paraId="1768A757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Таблица 4: Данные по эффективности за 48 и 144 недели из исследования GS-01-934, в котором </w:t>
      </w:r>
      <w:proofErr w:type="spellStart"/>
      <w:r w:rsidRPr="00704FB4">
        <w:rPr>
          <w:rFonts w:ascii="Times New Roman" w:hAnsi="Times New Roman" w:cs="Times New Roman"/>
          <w:bCs/>
          <w:color w:val="000000"/>
          <w:sz w:val="24"/>
          <w:szCs w:val="24"/>
        </w:rPr>
        <w:t>эмтрицитабин</w:t>
      </w:r>
      <w:proofErr w:type="spellEnd"/>
      <w:r w:rsidRPr="00704F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704FB4">
        <w:rPr>
          <w:rFonts w:ascii="Times New Roman" w:hAnsi="Times New Roman" w:cs="Times New Roman"/>
          <w:bCs/>
          <w:color w:val="000000"/>
          <w:sz w:val="24"/>
          <w:szCs w:val="24"/>
        </w:rPr>
        <w:t>тенофовира</w:t>
      </w:r>
      <w:proofErr w:type="spellEnd"/>
      <w:r w:rsidRPr="00704F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bCs/>
          <w:color w:val="000000"/>
          <w:sz w:val="24"/>
          <w:szCs w:val="24"/>
        </w:rPr>
        <w:t>дизопроксил</w:t>
      </w:r>
      <w:proofErr w:type="spellEnd"/>
      <w:r w:rsidRPr="00704F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704FB4">
        <w:rPr>
          <w:rFonts w:ascii="Times New Roman" w:hAnsi="Times New Roman" w:cs="Times New Roman"/>
          <w:bCs/>
          <w:color w:val="000000"/>
          <w:sz w:val="24"/>
          <w:szCs w:val="24"/>
        </w:rPr>
        <w:t>эфавиренз</w:t>
      </w:r>
      <w:proofErr w:type="spellEnd"/>
      <w:r w:rsidRPr="00704F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вводили пациентам, инфицированным ВИЧ-1, не получавшим ранее лечение антиретровирусными препаратами</w:t>
      </w:r>
    </w:p>
    <w:tbl>
      <w:tblPr>
        <w:tblW w:w="9244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4"/>
        <w:gridCol w:w="1928"/>
        <w:gridCol w:w="1617"/>
        <w:gridCol w:w="2033"/>
        <w:gridCol w:w="1222"/>
      </w:tblGrid>
      <w:tr w:rsidR="00F20C90" w:rsidRPr="00704FB4" w14:paraId="587491BF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4E86A7B" w14:textId="77777777" w:rsidR="00F20C90" w:rsidRPr="00704FB4" w:rsidRDefault="00F20C90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349BB2B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GS-01-934</w:t>
            </w:r>
          </w:p>
          <w:p w14:paraId="3E9E02DD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Лечение в течение 48 недель</w:t>
            </w:r>
          </w:p>
        </w:tc>
        <w:tc>
          <w:tcPr>
            <w:tcW w:w="152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EE0B280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GS-01-934</w:t>
            </w:r>
          </w:p>
          <w:p w14:paraId="1D2CBDA8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Лечение в течение 144 недель</w:t>
            </w:r>
          </w:p>
        </w:tc>
      </w:tr>
      <w:tr w:rsidR="00F20C90" w:rsidRPr="00704FB4" w14:paraId="6A6586CD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B0843AD" w14:textId="77777777" w:rsidR="00F20C90" w:rsidRPr="00704FB4" w:rsidRDefault="00F20C90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718FDEA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дизопроксил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  <w:proofErr w:type="spellEnd"/>
          </w:p>
        </w:tc>
        <w:tc>
          <w:tcPr>
            <w:tcW w:w="95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4D1F171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  <w:proofErr w:type="spellEnd"/>
          </w:p>
        </w:tc>
        <w:tc>
          <w:tcPr>
            <w:tcW w:w="11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5286A6C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дизопроксил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4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A877A23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  <w:proofErr w:type="spellEnd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  <w:proofErr w:type="spellEnd"/>
          </w:p>
        </w:tc>
      </w:tr>
      <w:tr w:rsidR="00F20C90" w:rsidRPr="00704FB4" w14:paraId="3BA2CA6B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3F14A80" w14:textId="77777777" w:rsidR="00F20C90" w:rsidRPr="00704FB4" w:rsidRDefault="00F20C90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РНК ВИЧ-1 &lt; 400 копий/мл (TLOVR)</w:t>
            </w:r>
          </w:p>
        </w:tc>
        <w:tc>
          <w:tcPr>
            <w:tcW w:w="112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AC3FD25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84% (206/244)</w:t>
            </w:r>
          </w:p>
        </w:tc>
        <w:tc>
          <w:tcPr>
            <w:tcW w:w="95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BD35CD0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73% (177/243)</w:t>
            </w:r>
          </w:p>
        </w:tc>
        <w:tc>
          <w:tcPr>
            <w:tcW w:w="11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69C98BC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71% (161/227)</w:t>
            </w:r>
          </w:p>
        </w:tc>
        <w:tc>
          <w:tcPr>
            <w:tcW w:w="34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09C6A31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58% (133/229)</w:t>
            </w:r>
          </w:p>
        </w:tc>
      </w:tr>
      <w:tr w:rsidR="00F20C90" w:rsidRPr="00704FB4" w14:paraId="4F41C3C8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F3C4502" w14:textId="77777777" w:rsidR="00F20C90" w:rsidRPr="00704FB4" w:rsidRDefault="00F20C90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p-значение</w:t>
            </w:r>
          </w:p>
        </w:tc>
        <w:tc>
          <w:tcPr>
            <w:tcW w:w="207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6304B45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0,002**</w:t>
            </w:r>
          </w:p>
        </w:tc>
        <w:tc>
          <w:tcPr>
            <w:tcW w:w="152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5C4857C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0,004**</w:t>
            </w:r>
          </w:p>
        </w:tc>
      </w:tr>
      <w:tr w:rsidR="00F20C90" w:rsidRPr="00704FB4" w14:paraId="57C20B35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900B26A" w14:textId="77777777" w:rsidR="00F20C90" w:rsidRPr="00704FB4" w:rsidRDefault="00B14198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20C90"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(ДИ – 95%:</w:t>
            </w:r>
          </w:p>
        </w:tc>
        <w:tc>
          <w:tcPr>
            <w:tcW w:w="207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AC94F6C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11% (от 4% до 19%)</w:t>
            </w:r>
          </w:p>
        </w:tc>
        <w:tc>
          <w:tcPr>
            <w:tcW w:w="152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7F89D94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13% (от 4% до 22%)</w:t>
            </w:r>
          </w:p>
        </w:tc>
      </w:tr>
      <w:tr w:rsidR="00F20C90" w:rsidRPr="00704FB4" w14:paraId="71F58C42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A34E54B" w14:textId="77777777" w:rsidR="00F20C90" w:rsidRPr="00704FB4" w:rsidRDefault="00F20C90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РНК ВИЧ-1 &lt; 50 копий/мл (TLOVR)</w:t>
            </w:r>
          </w:p>
        </w:tc>
        <w:tc>
          <w:tcPr>
            <w:tcW w:w="112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A4D3D71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80% (194/244)</w:t>
            </w:r>
          </w:p>
        </w:tc>
        <w:tc>
          <w:tcPr>
            <w:tcW w:w="95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03B1808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70% (171/243)</w:t>
            </w:r>
          </w:p>
        </w:tc>
        <w:tc>
          <w:tcPr>
            <w:tcW w:w="11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615A7AC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64% (146/227)</w:t>
            </w:r>
          </w:p>
        </w:tc>
        <w:tc>
          <w:tcPr>
            <w:tcW w:w="34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7CE573C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56% (130/231)</w:t>
            </w:r>
          </w:p>
        </w:tc>
      </w:tr>
      <w:tr w:rsidR="00F20C90" w:rsidRPr="00704FB4" w14:paraId="339912D7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412BCA8" w14:textId="77777777" w:rsidR="00F20C90" w:rsidRPr="00704FB4" w:rsidRDefault="00F20C90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p-значение</w:t>
            </w:r>
          </w:p>
        </w:tc>
        <w:tc>
          <w:tcPr>
            <w:tcW w:w="207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DDC5C77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0,021**</w:t>
            </w:r>
          </w:p>
        </w:tc>
        <w:tc>
          <w:tcPr>
            <w:tcW w:w="152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9D3F634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0,082**</w:t>
            </w:r>
          </w:p>
        </w:tc>
      </w:tr>
      <w:tr w:rsidR="00F20C90" w:rsidRPr="00704FB4" w14:paraId="1E4DA6B4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27495CE" w14:textId="77777777" w:rsidR="00F20C90" w:rsidRPr="00704FB4" w:rsidRDefault="00B14198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20C90"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 (ДИ – 95%:</w:t>
            </w:r>
          </w:p>
        </w:tc>
        <w:tc>
          <w:tcPr>
            <w:tcW w:w="207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DA3AF31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9% (от 2% до 17%)</w:t>
            </w:r>
          </w:p>
        </w:tc>
        <w:tc>
          <w:tcPr>
            <w:tcW w:w="152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B84BCD9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8% (от -1% до 17%)</w:t>
            </w:r>
          </w:p>
        </w:tc>
      </w:tr>
      <w:tr w:rsidR="00F20C90" w:rsidRPr="00704FB4" w14:paraId="7C24AADA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4010103" w14:textId="77777777" w:rsidR="00F20C90" w:rsidRPr="00704FB4" w:rsidRDefault="00F20C90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 xml:space="preserve">Среднее изменение в </w:t>
            </w:r>
            <w:r w:rsidRPr="00704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 клеток CD4 (клеток/мм</w:t>
            </w:r>
            <w:r w:rsidRPr="00704F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) от исходного уровня</w:t>
            </w:r>
          </w:p>
        </w:tc>
        <w:tc>
          <w:tcPr>
            <w:tcW w:w="112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5909DB7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+190</w:t>
            </w:r>
          </w:p>
        </w:tc>
        <w:tc>
          <w:tcPr>
            <w:tcW w:w="95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7FF5637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+158</w:t>
            </w:r>
          </w:p>
        </w:tc>
        <w:tc>
          <w:tcPr>
            <w:tcW w:w="11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99B4291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+312</w:t>
            </w:r>
          </w:p>
        </w:tc>
        <w:tc>
          <w:tcPr>
            <w:tcW w:w="34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4556C33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+271</w:t>
            </w:r>
          </w:p>
        </w:tc>
      </w:tr>
      <w:tr w:rsidR="00F20C90" w:rsidRPr="00704FB4" w14:paraId="1E448BF3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5BB7498" w14:textId="77777777" w:rsidR="00F20C90" w:rsidRPr="00704FB4" w:rsidRDefault="00F20C90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p-значение</w:t>
            </w:r>
          </w:p>
        </w:tc>
        <w:tc>
          <w:tcPr>
            <w:tcW w:w="207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374A763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  <w:r w:rsidRPr="00704F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2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D465555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0,089</w:t>
            </w:r>
            <w:r w:rsidRPr="00704F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F20C90" w:rsidRPr="00704FB4" w14:paraId="7308398B" w14:textId="77777777" w:rsidTr="003C0799">
        <w:tc>
          <w:tcPr>
            <w:tcW w:w="140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6B9BC99" w14:textId="77777777" w:rsidR="00F20C90" w:rsidRPr="00704FB4" w:rsidRDefault="00F20C90" w:rsidP="00D07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Различие (ДИ на уровне 95%)</w:t>
            </w:r>
          </w:p>
        </w:tc>
        <w:tc>
          <w:tcPr>
            <w:tcW w:w="207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E8512D2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32 (от 9 до 55)</w:t>
            </w:r>
          </w:p>
        </w:tc>
        <w:tc>
          <w:tcPr>
            <w:tcW w:w="152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22FE8F1" w14:textId="77777777" w:rsidR="00F20C90" w:rsidRPr="00704FB4" w:rsidRDefault="00F20C90" w:rsidP="00D0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sz w:val="24"/>
                <w:szCs w:val="24"/>
              </w:rPr>
              <w:t>41 (от 4 до 79)</w:t>
            </w:r>
          </w:p>
        </w:tc>
      </w:tr>
    </w:tbl>
    <w:p w14:paraId="1D947B17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* Пациентам, получавшим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эмтрицитабин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тенофовира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дизопроксил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эфавиренз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, вводили в комбинации с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эфавирензом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с 96 по 144 неделю.</w:t>
      </w:r>
    </w:p>
    <w:p w14:paraId="6442E2EA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** p-значение на основе критерия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Кохрана-Мантеля-Гензеля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>, стратифицированного по исходному количеству клеток CD4</w:t>
      </w:r>
    </w:p>
    <w:p w14:paraId="750828BC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>TLOVR – время до потери вирусологического ответа</w:t>
      </w:r>
    </w:p>
    <w:p w14:paraId="550FAC8E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a: критерий Ван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Элтерена</w:t>
      </w:r>
      <w:proofErr w:type="spellEnd"/>
    </w:p>
    <w:p w14:paraId="555BB1F4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В рандомизированном клиническом исследовании (M02-418) 190 взрослым пациентам, не получавшим ранее лечение антиретровирусными препаратами, вводили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эмтрицитабин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тенофовира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дизопроксил</w:t>
      </w:r>
      <w:r w:rsidR="003C0799" w:rsidRPr="00704FB4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сутки в комбинации с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лопинавиром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ритонавиром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один или два раза в сутки. Через 48 недель у 70% и 64% пациентов зарегистрировано РНК ВИЧ-1 &lt; 50 копий/мл при схеме приема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лопинавира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ритонавира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один и два раза в сутки, соответственно. Средние изменения количества клеток CD4 по сравнению с исходным уровнем составили +185 клеток/мм</w:t>
      </w:r>
      <w:r w:rsidRPr="00704FB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+196 клеток/мм</w:t>
      </w:r>
      <w:r w:rsidRPr="00704FB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704FB4">
        <w:rPr>
          <w:rFonts w:ascii="Times New Roman" w:hAnsi="Times New Roman" w:cs="Times New Roman"/>
          <w:color w:val="000000"/>
          <w:sz w:val="24"/>
          <w:szCs w:val="24"/>
        </w:rPr>
        <w:t>, соответственно.</w:t>
      </w:r>
    </w:p>
    <w:p w14:paraId="39C6CCD6" w14:textId="31FE0540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Ограниченный клинический опыт лечения пациентов, одновременно инфицированных ВИЧ и вирусом гепатита В (ВГВ), позволяет предположить, что лечение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эмтрицитабином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тенофовира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дизопроксилом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в комбинированной антиретровирусной терапии для контроля ВИЧ-инфекции приводит к снижению ДНК ВГВ (снижение на 3 log</w:t>
      </w:r>
      <w:r w:rsidRPr="00704FB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10</w:t>
      </w:r>
      <w:r w:rsidRPr="00704FB4">
        <w:rPr>
          <w:rFonts w:ascii="Times New Roman" w:hAnsi="Times New Roman" w:cs="Times New Roman"/>
          <w:color w:val="000000"/>
          <w:sz w:val="24"/>
          <w:szCs w:val="24"/>
        </w:rPr>
        <w:t> или на 4-5 log</w:t>
      </w:r>
      <w:r w:rsidRPr="00704FB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10</w:t>
      </w:r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, соответственно) (см. </w:t>
      </w:r>
      <w:r w:rsidR="00883BFC" w:rsidRPr="00704FB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04FB4">
        <w:rPr>
          <w:rFonts w:ascii="Times New Roman" w:hAnsi="Times New Roman" w:cs="Times New Roman"/>
          <w:color w:val="000000"/>
          <w:sz w:val="24"/>
          <w:szCs w:val="24"/>
        </w:rPr>
        <w:t>аздел 4.4).</w:t>
      </w:r>
    </w:p>
    <w:p w14:paraId="1AACF680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>Профила</w:t>
      </w:r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>ктика до применения препарата: в</w:t>
      </w:r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исследовании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iPrEx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(CO-US-104-0288) оценивалось применение</w:t>
      </w:r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лекарственного средства </w:t>
      </w:r>
      <w:proofErr w:type="spellStart"/>
      <w:r w:rsidR="00B14198" w:rsidRPr="00704FB4">
        <w:rPr>
          <w:rFonts w:ascii="Times New Roman" w:hAnsi="Times New Roman" w:cs="Times New Roman"/>
          <w:color w:val="000000"/>
          <w:sz w:val="24"/>
          <w:szCs w:val="24"/>
        </w:rPr>
        <w:t>эмтри</w:t>
      </w:r>
      <w:r w:rsidR="00C9617C" w:rsidRPr="00704FB4">
        <w:rPr>
          <w:rFonts w:ascii="Times New Roman" w:hAnsi="Times New Roman" w:cs="Times New Roman"/>
          <w:color w:val="000000"/>
          <w:sz w:val="24"/>
          <w:szCs w:val="24"/>
        </w:rPr>
        <w:t>цитабин</w:t>
      </w:r>
      <w:proofErr w:type="spellEnd"/>
      <w:r w:rsidR="00C9617C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C9617C" w:rsidRPr="00704FB4">
        <w:rPr>
          <w:rFonts w:ascii="Times New Roman" w:hAnsi="Times New Roman" w:cs="Times New Roman"/>
          <w:color w:val="000000"/>
          <w:sz w:val="24"/>
          <w:szCs w:val="24"/>
        </w:rPr>
        <w:t>тенофовира</w:t>
      </w:r>
      <w:proofErr w:type="spellEnd"/>
      <w:r w:rsidR="00C9617C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617C" w:rsidRPr="00704FB4">
        <w:rPr>
          <w:rFonts w:ascii="Times New Roman" w:hAnsi="Times New Roman" w:cs="Times New Roman"/>
          <w:color w:val="000000"/>
          <w:sz w:val="24"/>
          <w:szCs w:val="24"/>
        </w:rPr>
        <w:t>дизопроксил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или плацебо при лечении 2 499 не инфицированных ВИЧ мужчин (или женщин-трансгендеров), которые имеют половые контакты с мужчинами, и которые были отнесены к группе высокого риска заражения ВИЧ. За субъектами наблюдали в течение 4 237 человеко-лет. Исходные характеристики приведены в Таблице 5.</w:t>
      </w:r>
    </w:p>
    <w:p w14:paraId="78794E49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>Таблица 5: Исследуемая популяция из исследования CO-US-104-0288 (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iPrEx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tbl>
      <w:tblPr>
        <w:tblW w:w="9064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85"/>
        <w:gridCol w:w="1408"/>
        <w:gridCol w:w="1571"/>
      </w:tblGrid>
      <w:tr w:rsidR="00F20C90" w:rsidRPr="00704FB4" w14:paraId="43A39C88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0BD32C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5525B5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Плацебо</w:t>
            </w:r>
          </w:p>
          <w:p w14:paraId="53878215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(n=1 248)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096392C" w14:textId="77777777" w:rsidR="00F20C90" w:rsidRPr="00704FB4" w:rsidRDefault="00372083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фумарат</w:t>
            </w:r>
            <w:proofErr w:type="spellEnd"/>
          </w:p>
          <w:p w14:paraId="6E1C02C8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(n=1 251)</w:t>
            </w:r>
          </w:p>
        </w:tc>
      </w:tr>
      <w:tr w:rsidR="00F20C90" w:rsidRPr="00704FB4" w14:paraId="6B81748C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6B8DA3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Возраст (кол-во лет), среднее значение (СО) 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C98041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(8,5)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EE0A75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(8,6)</w:t>
            </w:r>
          </w:p>
        </w:tc>
      </w:tr>
      <w:tr w:rsidR="00F20C90" w:rsidRPr="00704FB4" w14:paraId="06ACD4B0" w14:textId="77777777" w:rsidTr="003C0799">
        <w:tc>
          <w:tcPr>
            <w:tcW w:w="5000" w:type="pct"/>
            <w:gridSpan w:val="3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0610FE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Раса, N (%)</w:t>
            </w:r>
          </w:p>
        </w:tc>
      </w:tr>
      <w:tr w:rsidR="00F20C90" w:rsidRPr="00704FB4" w14:paraId="7CE58315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F681265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 негроидной расы/,афроамериканцы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69677D8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(8)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5807A6E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(9)</w:t>
            </w:r>
          </w:p>
        </w:tc>
      </w:tr>
      <w:tr w:rsidR="00F20C90" w:rsidRPr="00704FB4" w14:paraId="66998D40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BE2B485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 европеоидной расы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333F76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(17)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BA7274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(18)</w:t>
            </w:r>
          </w:p>
        </w:tc>
      </w:tr>
      <w:tr w:rsidR="00F20C90" w:rsidRPr="00704FB4" w14:paraId="47836B6A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BCCC9A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Смешанные/другие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A602F9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 (70)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70E37E8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 (68)</w:t>
            </w:r>
          </w:p>
        </w:tc>
      </w:tr>
      <w:tr w:rsidR="00F20C90" w:rsidRPr="00704FB4" w14:paraId="457E9AEB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7BC9AD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Азиаты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98C57E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(5)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815558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(5)</w:t>
            </w:r>
          </w:p>
        </w:tc>
      </w:tr>
      <w:tr w:rsidR="00F20C90" w:rsidRPr="00704FB4" w14:paraId="606BA83E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50A0DC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Пациенты испанского/латино-американского происхождения, N (%) 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DBF4E0F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 (73)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F2242D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(72)</w:t>
            </w:r>
          </w:p>
        </w:tc>
      </w:tr>
      <w:tr w:rsidR="00F20C90" w:rsidRPr="00704FB4" w14:paraId="47064FAD" w14:textId="77777777" w:rsidTr="003C0799">
        <w:tc>
          <w:tcPr>
            <w:tcW w:w="5000" w:type="pct"/>
            <w:gridSpan w:val="3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D2246E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сексуального риска при скрининге</w:t>
            </w:r>
          </w:p>
        </w:tc>
      </w:tr>
      <w:tr w:rsidR="00F20C90" w:rsidRPr="00704FB4" w14:paraId="5031D7FB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82B783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партнеров за предыдущие 12 недель, среднее значение (СО) 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6AEA93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(43)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59DC24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(35)</w:t>
            </w:r>
          </w:p>
        </w:tc>
      </w:tr>
      <w:tr w:rsidR="00F20C90" w:rsidRPr="00704FB4" w14:paraId="2AD4F662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337A402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 за предыдущие 12 недель, N (%)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89BA2D1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(60)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5C1E75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 (59)</w:t>
            </w:r>
          </w:p>
        </w:tc>
      </w:tr>
      <w:tr w:rsidR="00F20C90" w:rsidRPr="00704FB4" w14:paraId="3B411F85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6FCD828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URAI с ВИЧ+ (или неизвестным статусом) партнером за предыдущие 6 месяцев, N (%)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CFD461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1 009 (81)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B774FE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(79)</w:t>
            </w:r>
          </w:p>
        </w:tc>
      </w:tr>
      <w:tr w:rsidR="00F20C90" w:rsidRPr="00704FB4" w14:paraId="3FBE13BB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C62F98C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коммерческом сексе за последние 6 месяцев, N (%) 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C0C4D9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(41)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F09A2F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(41)</w:t>
            </w:r>
          </w:p>
        </w:tc>
      </w:tr>
      <w:tr w:rsidR="00F20C90" w:rsidRPr="00704FB4" w14:paraId="432092A1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A07CEA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Секс с ВИЧ+ партнером за последние 6 месяцев, N (%)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88F3E06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(3)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A4B3AEE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(2)</w:t>
            </w:r>
          </w:p>
        </w:tc>
      </w:tr>
      <w:tr w:rsidR="00F20C90" w:rsidRPr="00704FB4" w14:paraId="6DBEC57A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3A5FFFB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Серореактивность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сифилиса, N (%)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25A23B1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162/1 239 (13)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717F92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164/1 240 (13)</w:t>
            </w:r>
          </w:p>
        </w:tc>
      </w:tr>
      <w:tr w:rsidR="00F20C90" w:rsidRPr="00704FB4" w14:paraId="0336510F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AAAD806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 простого герпеса 2 типа в сыворотке, инфекция, N (%)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72E3E0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430/1 243 (35)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40DDF2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458/1 241 (37)</w:t>
            </w:r>
          </w:p>
        </w:tc>
      </w:tr>
      <w:tr w:rsidR="00F20C90" w:rsidRPr="00704FB4" w14:paraId="0D621564" w14:textId="77777777" w:rsidTr="003C0799">
        <w:tc>
          <w:tcPr>
            <w:tcW w:w="335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5D04BEB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Эстераза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лейкоцитов в моче положит., N (%) </w:t>
            </w:r>
          </w:p>
        </w:tc>
        <w:tc>
          <w:tcPr>
            <w:tcW w:w="7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2FD5B4E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(2)</w:t>
            </w:r>
          </w:p>
        </w:tc>
        <w:tc>
          <w:tcPr>
            <w:tcW w:w="86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CA47D2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(2)</w:t>
            </w:r>
          </w:p>
        </w:tc>
      </w:tr>
    </w:tbl>
    <w:p w14:paraId="06DB571A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>URAI – незащищенный рецептивный анальный половой акт</w:t>
      </w:r>
    </w:p>
    <w:p w14:paraId="27A935A5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>Частота новых случаев ВИЧ-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сероконверсии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в целом и в подгруппе с зарегистрированным незащищенным рецептивным анальным половым актом, приведены в Таблице 6. Эффективность строго соотносилась с приверженностью к лечению, которая оценивалась путем определения уровней препарата в плазме или внутри клеток в исследовании методом случай-контроль (Таблица 7). </w:t>
      </w:r>
    </w:p>
    <w:p w14:paraId="217BD36F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>Таблица 6: Эффективность в исследовании CO-US-104-0288 (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iPrEx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tbl>
      <w:tblPr>
        <w:tblW w:w="8923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35"/>
        <w:gridCol w:w="1419"/>
        <w:gridCol w:w="998"/>
        <w:gridCol w:w="1271"/>
      </w:tblGrid>
      <w:tr w:rsidR="00F20C90" w:rsidRPr="00704FB4" w14:paraId="1E07DD97" w14:textId="77777777" w:rsidTr="003C0799">
        <w:tc>
          <w:tcPr>
            <w:tcW w:w="293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266B10A8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746AD3DF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Плацебо</w:t>
            </w:r>
          </w:p>
        </w:tc>
        <w:tc>
          <w:tcPr>
            <w:tcW w:w="55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414EFFDB" w14:textId="77777777" w:rsidR="00F20C90" w:rsidRPr="00704FB4" w:rsidRDefault="00372083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71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0EBA597E" w14:textId="69DCBFA5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P-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, b</w:t>
            </w:r>
          </w:p>
        </w:tc>
      </w:tr>
      <w:tr w:rsidR="00F20C90" w:rsidRPr="00704FB4" w14:paraId="7B40D199" w14:textId="77777777" w:rsidTr="003C0799">
        <w:tc>
          <w:tcPr>
            <w:tcW w:w="5000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ECCA0C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модифицированной ITT-популяции </w:t>
            </w:r>
          </w:p>
        </w:tc>
      </w:tr>
      <w:tr w:rsidR="00F20C90" w:rsidRPr="00704FB4" w14:paraId="198B1912" w14:textId="77777777" w:rsidTr="003C0799">
        <w:tc>
          <w:tcPr>
            <w:tcW w:w="293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0B5DC96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Сероконверсия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/N </w:t>
            </w:r>
          </w:p>
        </w:tc>
        <w:tc>
          <w:tcPr>
            <w:tcW w:w="79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5BDC1FA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83/1 217</w:t>
            </w:r>
          </w:p>
        </w:tc>
        <w:tc>
          <w:tcPr>
            <w:tcW w:w="55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26B786F1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48/1 224</w:t>
            </w:r>
          </w:p>
        </w:tc>
        <w:tc>
          <w:tcPr>
            <w:tcW w:w="712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9C083BF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</w:tr>
      <w:tr w:rsidR="00F20C90" w:rsidRPr="00704FB4" w14:paraId="10C72998" w14:textId="77777777" w:rsidTr="003C0799">
        <w:tc>
          <w:tcPr>
            <w:tcW w:w="293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84D837C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Относительное снижение риска (ДИ на уровне 95%) b</w:t>
            </w:r>
          </w:p>
        </w:tc>
        <w:tc>
          <w:tcPr>
            <w:tcW w:w="135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0B9EB8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42% (18%, 60%)</w:t>
            </w:r>
          </w:p>
        </w:tc>
        <w:tc>
          <w:tcPr>
            <w:tcW w:w="712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78CD4A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0C90" w:rsidRPr="00704FB4" w14:paraId="09495024" w14:textId="77777777" w:rsidTr="003C0799">
        <w:tc>
          <w:tcPr>
            <w:tcW w:w="5000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39369A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URAI в течение 12 недель до скрининга, анализ модифицированной ITT-популяции </w:t>
            </w:r>
          </w:p>
        </w:tc>
      </w:tr>
      <w:tr w:rsidR="00F20C90" w:rsidRPr="00704FB4" w14:paraId="0439D52D" w14:textId="77777777" w:rsidTr="003C0799">
        <w:tc>
          <w:tcPr>
            <w:tcW w:w="293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C941D1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Сероконверсия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/N </w:t>
            </w:r>
          </w:p>
        </w:tc>
        <w:tc>
          <w:tcPr>
            <w:tcW w:w="79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392CD50C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72/753</w:t>
            </w:r>
          </w:p>
        </w:tc>
        <w:tc>
          <w:tcPr>
            <w:tcW w:w="55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07F5F11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34/732</w:t>
            </w:r>
          </w:p>
        </w:tc>
        <w:tc>
          <w:tcPr>
            <w:tcW w:w="712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12F075B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0,0349</w:t>
            </w:r>
          </w:p>
        </w:tc>
      </w:tr>
      <w:tr w:rsidR="00F20C90" w:rsidRPr="00704FB4" w14:paraId="7D9DBC37" w14:textId="77777777" w:rsidTr="003C0799">
        <w:tc>
          <w:tcPr>
            <w:tcW w:w="293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9B3CBC8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Относительное снижение риска (ДИ на уровне 95%) b</w:t>
            </w:r>
          </w:p>
        </w:tc>
        <w:tc>
          <w:tcPr>
            <w:tcW w:w="135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19D91F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 (28%, 68%)</w:t>
            </w:r>
          </w:p>
        </w:tc>
        <w:tc>
          <w:tcPr>
            <w:tcW w:w="712" w:type="pct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4F6080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74A907B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a P-значения по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логранговому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критерию. P-значения для URAI относятся к нулевой гипотезе о том, что эффективность различалась между подгруппами (с URAI, без URAI).</w:t>
      </w:r>
    </w:p>
    <w:p w14:paraId="729573F4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b Относительное снижение риска, рассчитанное для модифицированной ITT-популяции, основано на инцидентной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сероконверсии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>, т. е. происходящей после исходного уровня, следующей за первым визитом после лечения (приблизительно через 1 месяц после последнего введения дозы исследуемого препарата).</w:t>
      </w:r>
    </w:p>
    <w:p w14:paraId="6A8E5D76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>Таблица 7: Эффективность и приверженность в исследовании CO-US-104-0288 (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iPrEx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, сопоставленный анализ методом случай-контроль) </w:t>
      </w:r>
    </w:p>
    <w:tbl>
      <w:tblPr>
        <w:tblW w:w="9064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72"/>
        <w:gridCol w:w="1588"/>
        <w:gridCol w:w="1686"/>
        <w:gridCol w:w="1618"/>
      </w:tblGrid>
      <w:tr w:rsidR="00F20C90" w:rsidRPr="00704FB4" w14:paraId="383A04A0" w14:textId="77777777" w:rsidTr="003C0799">
        <w:tc>
          <w:tcPr>
            <w:tcW w:w="23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72A4619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Когорта </w:t>
            </w:r>
          </w:p>
        </w:tc>
        <w:tc>
          <w:tcPr>
            <w:tcW w:w="85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2740C30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Лекарственное средство обнаружено</w:t>
            </w:r>
          </w:p>
        </w:tc>
        <w:tc>
          <w:tcPr>
            <w:tcW w:w="9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7A8605F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Лекарственное средство не обнаружено</w:t>
            </w:r>
          </w:p>
        </w:tc>
        <w:tc>
          <w:tcPr>
            <w:tcW w:w="8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029F66DE" w14:textId="053EE486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Относительное снижение риска (2-сторонний ДИ на уровне 95%)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F20C90" w:rsidRPr="00704FB4" w14:paraId="1DDA14C1" w14:textId="77777777" w:rsidTr="003C0799">
        <w:tc>
          <w:tcPr>
            <w:tcW w:w="23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4D04DE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ВИЧ-положительные субъекты </w:t>
            </w:r>
          </w:p>
        </w:tc>
        <w:tc>
          <w:tcPr>
            <w:tcW w:w="85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648CD3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(8%)</w:t>
            </w:r>
          </w:p>
        </w:tc>
        <w:tc>
          <w:tcPr>
            <w:tcW w:w="9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1F48E78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(92%)</w:t>
            </w:r>
          </w:p>
        </w:tc>
        <w:tc>
          <w:tcPr>
            <w:tcW w:w="8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E0A57E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94% (78%, 99%)</w:t>
            </w:r>
          </w:p>
        </w:tc>
      </w:tr>
      <w:tr w:rsidR="00F20C90" w:rsidRPr="00704FB4" w14:paraId="3145A524" w14:textId="77777777" w:rsidTr="003C0799">
        <w:tc>
          <w:tcPr>
            <w:tcW w:w="234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25AE4A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ВИЧ-отрицательные субъекты </w:t>
            </w: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аналогичной контрольной группы</w:t>
            </w:r>
          </w:p>
        </w:tc>
        <w:tc>
          <w:tcPr>
            <w:tcW w:w="85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40227B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 (44%)</w:t>
            </w:r>
          </w:p>
        </w:tc>
        <w:tc>
          <w:tcPr>
            <w:tcW w:w="9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1BA83E6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(56%)</w:t>
            </w:r>
          </w:p>
        </w:tc>
        <w:tc>
          <w:tcPr>
            <w:tcW w:w="8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B63086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14:paraId="57DD347D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a Относительное снижение риска, рассчитанное по случаям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сероконверсии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(после исходного уровня) от двойного слепого периода лечения и до 8-недельного периода последующего наблюдения. Только образцы от субъектов, случайным образом распределенных в г</w:t>
      </w:r>
      <w:r w:rsidR="003A6529"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руппы лечения </w:t>
      </w:r>
      <w:r w:rsidR="00D073DF" w:rsidRPr="00704FB4">
        <w:rPr>
          <w:rFonts w:ascii="Times New Roman" w:hAnsi="Times New Roman" w:cs="Times New Roman"/>
          <w:color w:val="000000"/>
          <w:sz w:val="20"/>
          <w:szCs w:val="20"/>
          <w:lang w:val="kk-KZ"/>
        </w:rPr>
        <w:t>э</w:t>
      </w:r>
      <w:proofErr w:type="spellStart"/>
      <w:r w:rsidR="003A6529" w:rsidRPr="00704FB4">
        <w:rPr>
          <w:rFonts w:ascii="Times New Roman" w:hAnsi="Times New Roman" w:cs="Times New Roman"/>
          <w:color w:val="000000"/>
          <w:sz w:val="20"/>
          <w:szCs w:val="20"/>
        </w:rPr>
        <w:t>мтрицитабином</w:t>
      </w:r>
      <w:proofErr w:type="spellEnd"/>
      <w:r w:rsidR="003A6529"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="003A6529" w:rsidRPr="00704FB4">
        <w:rPr>
          <w:rFonts w:ascii="Times New Roman" w:hAnsi="Times New Roman" w:cs="Times New Roman"/>
          <w:color w:val="000000"/>
          <w:sz w:val="20"/>
          <w:szCs w:val="20"/>
        </w:rPr>
        <w:t>тенофовиром</w:t>
      </w:r>
      <w:proofErr w:type="spellEnd"/>
      <w:r w:rsidR="003A6529"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A6529" w:rsidRPr="00704FB4">
        <w:rPr>
          <w:rFonts w:ascii="Times New Roman" w:hAnsi="Times New Roman" w:cs="Times New Roman"/>
          <w:color w:val="000000"/>
          <w:sz w:val="20"/>
          <w:szCs w:val="20"/>
        </w:rPr>
        <w:t>дизопроксила</w:t>
      </w:r>
      <w:proofErr w:type="spellEnd"/>
      <w:r w:rsidR="003A6529"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A6529" w:rsidRPr="00704FB4">
        <w:rPr>
          <w:rFonts w:ascii="Times New Roman" w:hAnsi="Times New Roman" w:cs="Times New Roman"/>
          <w:color w:val="000000"/>
          <w:sz w:val="20"/>
          <w:szCs w:val="20"/>
        </w:rPr>
        <w:t>фумаратом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, были оценены на обнаруживаемые уровни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тенофовира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дизопроксила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>-DP в плазме или внутри клеток.</w:t>
      </w:r>
    </w:p>
    <w:p w14:paraId="5C337427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В клиническом исследовании 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Partners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PrEP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(C</w:t>
      </w:r>
      <w:r w:rsidR="003A6529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O-US-104-0380) оценивали комбинацию </w:t>
      </w:r>
      <w:proofErr w:type="spellStart"/>
      <w:r w:rsidR="003A6529" w:rsidRPr="00704FB4">
        <w:rPr>
          <w:rFonts w:ascii="Times New Roman" w:hAnsi="Times New Roman" w:cs="Times New Roman"/>
          <w:color w:val="000000"/>
          <w:sz w:val="24"/>
          <w:szCs w:val="24"/>
        </w:rPr>
        <w:t>эмтрицитабина</w:t>
      </w:r>
      <w:proofErr w:type="spellEnd"/>
      <w:r w:rsidR="003A6529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3A6529" w:rsidRPr="00704FB4">
        <w:rPr>
          <w:rFonts w:ascii="Times New Roman" w:hAnsi="Times New Roman" w:cs="Times New Roman"/>
          <w:color w:val="000000"/>
          <w:sz w:val="24"/>
          <w:szCs w:val="24"/>
        </w:rPr>
        <w:t>тенофовира</w:t>
      </w:r>
      <w:proofErr w:type="spellEnd"/>
      <w:r w:rsidR="003A6529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6529" w:rsidRPr="00704FB4">
        <w:rPr>
          <w:rFonts w:ascii="Times New Roman" w:hAnsi="Times New Roman" w:cs="Times New Roman"/>
          <w:color w:val="000000"/>
          <w:sz w:val="24"/>
          <w:szCs w:val="24"/>
        </w:rPr>
        <w:t>дизопроксила</w:t>
      </w:r>
      <w:proofErr w:type="spellEnd"/>
      <w:r w:rsidR="003A6529"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6529" w:rsidRPr="00704FB4">
        <w:rPr>
          <w:rFonts w:ascii="Times New Roman" w:hAnsi="Times New Roman" w:cs="Times New Roman"/>
          <w:color w:val="000000"/>
          <w:sz w:val="24"/>
          <w:szCs w:val="24"/>
        </w:rPr>
        <w:t>фумарата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тенофовира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дизопроксил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, 245 мг или плацебо при лечении 4 758 не инфицированных ВИЧ субъектов из Кении или Уганды в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серодискордантных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гетеросексуальных парах. За субъектами наблюдали в течение 7 830 человеко-лет. Исходные характеристики приведены в Таблице 8.</w:t>
      </w:r>
    </w:p>
    <w:p w14:paraId="3CFBE6B7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>Таблица 8: Исследуемая популяция из исследования CO-US-104-0380 (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Partners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PrEP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tbl>
      <w:tblPr>
        <w:tblW w:w="9181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4"/>
        <w:gridCol w:w="1477"/>
        <w:gridCol w:w="1689"/>
        <w:gridCol w:w="1571"/>
      </w:tblGrid>
      <w:tr w:rsidR="00F20C90" w:rsidRPr="00704FB4" w14:paraId="10E2A27E" w14:textId="77777777" w:rsidTr="003C0799">
        <w:tc>
          <w:tcPr>
            <w:tcW w:w="24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26CEDF9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69634C0F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Плацебо</w:t>
            </w:r>
          </w:p>
          <w:p w14:paraId="2169D6DC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(n=1 584)</w:t>
            </w:r>
          </w:p>
        </w:tc>
        <w:tc>
          <w:tcPr>
            <w:tcW w:w="9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74646F9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245 мг</w:t>
            </w:r>
          </w:p>
          <w:p w14:paraId="4C1AD4FE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(n=1 584)</w:t>
            </w:r>
          </w:p>
        </w:tc>
        <w:tc>
          <w:tcPr>
            <w:tcW w:w="83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3C69F0F6" w14:textId="77777777" w:rsidR="00F20C90" w:rsidRPr="00704FB4" w:rsidRDefault="00372083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фумарат</w:t>
            </w:r>
            <w:proofErr w:type="spellEnd"/>
          </w:p>
          <w:p w14:paraId="474DDB4B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(n=1 579)</w:t>
            </w:r>
          </w:p>
        </w:tc>
      </w:tr>
      <w:tr w:rsidR="00F20C90" w:rsidRPr="00704FB4" w14:paraId="56EF53DD" w14:textId="77777777" w:rsidTr="003C0799">
        <w:tc>
          <w:tcPr>
            <w:tcW w:w="24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18071DF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Возраст (кол-во лет), медиана (Q1, Q3) </w:t>
            </w:r>
          </w:p>
        </w:tc>
        <w:tc>
          <w:tcPr>
            <w:tcW w:w="8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79D5766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(28, 40)</w:t>
            </w:r>
          </w:p>
        </w:tc>
        <w:tc>
          <w:tcPr>
            <w:tcW w:w="9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A2EA04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(28, 39)</w:t>
            </w:r>
          </w:p>
        </w:tc>
        <w:tc>
          <w:tcPr>
            <w:tcW w:w="83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9C85EF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(28, 40)</w:t>
            </w:r>
          </w:p>
        </w:tc>
      </w:tr>
      <w:tr w:rsidR="00F20C90" w:rsidRPr="00704FB4" w14:paraId="2BD82AE7" w14:textId="77777777" w:rsidTr="003C0799">
        <w:tc>
          <w:tcPr>
            <w:tcW w:w="5000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67118FB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Пол, N (%) </w:t>
            </w:r>
          </w:p>
        </w:tc>
      </w:tr>
      <w:tr w:rsidR="00F20C90" w:rsidRPr="00704FB4" w14:paraId="252385B5" w14:textId="77777777" w:rsidTr="003C0799">
        <w:tc>
          <w:tcPr>
            <w:tcW w:w="24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EF2B1F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8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FA2269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(61)</w:t>
            </w:r>
          </w:p>
        </w:tc>
        <w:tc>
          <w:tcPr>
            <w:tcW w:w="9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AAF9B9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 (62)</w:t>
            </w:r>
          </w:p>
        </w:tc>
        <w:tc>
          <w:tcPr>
            <w:tcW w:w="83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DEFD74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1 013 (64)</w:t>
            </w:r>
          </w:p>
        </w:tc>
      </w:tr>
      <w:tr w:rsidR="00F20C90" w:rsidRPr="00704FB4" w14:paraId="5D1A1555" w14:textId="77777777" w:rsidTr="003C0799">
        <w:tc>
          <w:tcPr>
            <w:tcW w:w="24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ECD376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8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1D39C01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(39)</w:t>
            </w:r>
          </w:p>
        </w:tc>
        <w:tc>
          <w:tcPr>
            <w:tcW w:w="9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2E147236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(38)</w:t>
            </w:r>
          </w:p>
        </w:tc>
        <w:tc>
          <w:tcPr>
            <w:tcW w:w="83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16E3CA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(36)</w:t>
            </w:r>
          </w:p>
        </w:tc>
      </w:tr>
      <w:tr w:rsidR="00F20C90" w:rsidRPr="00704FB4" w14:paraId="4523A5FB" w14:textId="77777777" w:rsidTr="003C0799">
        <w:tc>
          <w:tcPr>
            <w:tcW w:w="5000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CB133F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Ключевые характеристики пары, N (%) или медиана (Q1, Q3) </w:t>
            </w:r>
          </w:p>
        </w:tc>
      </w:tr>
      <w:tr w:rsidR="00F20C90" w:rsidRPr="00704FB4" w14:paraId="2EF1717E" w14:textId="77777777" w:rsidTr="003C0799">
        <w:tc>
          <w:tcPr>
            <w:tcW w:w="24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3A375D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Партнер в браке – участник исследования </w:t>
            </w:r>
          </w:p>
        </w:tc>
        <w:tc>
          <w:tcPr>
            <w:tcW w:w="8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0EB680F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1 552 (98)</w:t>
            </w:r>
          </w:p>
        </w:tc>
        <w:tc>
          <w:tcPr>
            <w:tcW w:w="9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203C37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1 543 (97)</w:t>
            </w:r>
          </w:p>
        </w:tc>
        <w:tc>
          <w:tcPr>
            <w:tcW w:w="83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56E9906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(98)</w:t>
            </w:r>
          </w:p>
        </w:tc>
      </w:tr>
      <w:tr w:rsidR="00F20C90" w:rsidRPr="00704FB4" w14:paraId="76965261" w14:textId="77777777" w:rsidTr="003C0799">
        <w:tc>
          <w:tcPr>
            <w:tcW w:w="24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F9BC16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 жизни с партнером-участником исследования</w:t>
            </w:r>
          </w:p>
        </w:tc>
        <w:tc>
          <w:tcPr>
            <w:tcW w:w="8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5580D2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 (3,0, 14,0)</w:t>
            </w:r>
          </w:p>
        </w:tc>
        <w:tc>
          <w:tcPr>
            <w:tcW w:w="9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DFC43C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 (3,0, 13,5)</w:t>
            </w:r>
          </w:p>
        </w:tc>
        <w:tc>
          <w:tcPr>
            <w:tcW w:w="83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1C17AF2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 (3,0, 14,0)</w:t>
            </w:r>
          </w:p>
        </w:tc>
      </w:tr>
      <w:tr w:rsidR="00F20C90" w:rsidRPr="00704FB4" w14:paraId="20619BB3" w14:textId="77777777" w:rsidTr="003C0799">
        <w:tc>
          <w:tcPr>
            <w:tcW w:w="242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FE3437B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Годы осведомленности о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дискордантном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статусе</w:t>
            </w:r>
          </w:p>
        </w:tc>
        <w:tc>
          <w:tcPr>
            <w:tcW w:w="811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CA0BA5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 (0,1, 2,0)</w:t>
            </w:r>
          </w:p>
        </w:tc>
        <w:tc>
          <w:tcPr>
            <w:tcW w:w="9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D19BB21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(0,1, 2,0)</w:t>
            </w:r>
          </w:p>
        </w:tc>
        <w:tc>
          <w:tcPr>
            <w:tcW w:w="83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F2CAFCF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 (0,1, 2,0)</w:t>
            </w:r>
          </w:p>
        </w:tc>
      </w:tr>
    </w:tbl>
    <w:p w14:paraId="5B9EF379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>Частота новых случаев ВИЧ-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сероконверсии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 показана в Таблице 9. Уровень ВИЧ-1-сероконверсии у мужчин составлял 0,24/100 человеко-лет потребления препарата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трувада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, а уровень ВИЧ-1-сероконверсии у женщин – 0,95/100 человеко-лет потребления препарата </w:t>
      </w:r>
      <w:proofErr w:type="spellStart"/>
      <w:r w:rsidRPr="00704FB4">
        <w:rPr>
          <w:rFonts w:ascii="Times New Roman" w:hAnsi="Times New Roman" w:cs="Times New Roman"/>
          <w:color w:val="000000"/>
          <w:sz w:val="24"/>
          <w:szCs w:val="24"/>
        </w:rPr>
        <w:t>трувада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>. Эффективность строго соотносилась с приверженностью к лечению, которая оценивалась путем определения уровней препарата в плазме или внутри клеток, и была выше среди участников дополнительного исследования, которые получали активное консультирование по приверженности, как показано в Таблице 10.</w:t>
      </w:r>
    </w:p>
    <w:p w14:paraId="7BEF53CD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t>Таблица 9: Эффективность в исследовании CO-US-104-0380 (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Partners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PrEP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tbl>
      <w:tblPr>
        <w:tblW w:w="9102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7"/>
        <w:gridCol w:w="1516"/>
        <w:gridCol w:w="1846"/>
        <w:gridCol w:w="1593"/>
      </w:tblGrid>
      <w:tr w:rsidR="00F20C90" w:rsidRPr="00704FB4" w14:paraId="378C3FD4" w14:textId="77777777" w:rsidTr="00D073DF">
        <w:tc>
          <w:tcPr>
            <w:tcW w:w="22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276EE06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63A4804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Плацебо</w:t>
            </w:r>
          </w:p>
        </w:tc>
        <w:tc>
          <w:tcPr>
            <w:tcW w:w="101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38DAE77C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245 мг</w:t>
            </w:r>
          </w:p>
        </w:tc>
        <w:tc>
          <w:tcPr>
            <w:tcW w:w="87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40EF4DE6" w14:textId="77777777" w:rsidR="00F20C90" w:rsidRPr="00704FB4" w:rsidRDefault="00372083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фумарат</w:t>
            </w:r>
            <w:proofErr w:type="spellEnd"/>
          </w:p>
        </w:tc>
      </w:tr>
      <w:tr w:rsidR="00F20C90" w:rsidRPr="00704FB4" w14:paraId="263226B4" w14:textId="77777777" w:rsidTr="00D073DF">
        <w:tc>
          <w:tcPr>
            <w:tcW w:w="22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A79889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Сероконверсия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/N a </w:t>
            </w:r>
          </w:p>
        </w:tc>
        <w:tc>
          <w:tcPr>
            <w:tcW w:w="83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37A349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52/1 578</w:t>
            </w:r>
          </w:p>
        </w:tc>
        <w:tc>
          <w:tcPr>
            <w:tcW w:w="101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42406AFC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17/1 579</w:t>
            </w:r>
          </w:p>
        </w:tc>
        <w:tc>
          <w:tcPr>
            <w:tcW w:w="87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C550F21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13/1 576</w:t>
            </w:r>
          </w:p>
        </w:tc>
      </w:tr>
      <w:tr w:rsidR="00F20C90" w:rsidRPr="00704FB4" w14:paraId="05C2114A" w14:textId="77777777" w:rsidTr="00D073DF">
        <w:tc>
          <w:tcPr>
            <w:tcW w:w="22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6D03865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Частота новых случаев на 100 человеко-лет (ДИ на уровне 95%)</w:t>
            </w:r>
          </w:p>
        </w:tc>
        <w:tc>
          <w:tcPr>
            <w:tcW w:w="83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3B45348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 (1,49, 2,62)</w:t>
            </w:r>
          </w:p>
        </w:tc>
        <w:tc>
          <w:tcPr>
            <w:tcW w:w="101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68FD3486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 (0,38, 1,05)</w:t>
            </w:r>
          </w:p>
        </w:tc>
        <w:tc>
          <w:tcPr>
            <w:tcW w:w="87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54D4E0D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 (0,27, 0,85)</w:t>
            </w:r>
          </w:p>
        </w:tc>
      </w:tr>
      <w:tr w:rsidR="00F20C90" w:rsidRPr="00704FB4" w14:paraId="10F6B0E6" w14:textId="77777777" w:rsidTr="00D073DF">
        <w:tc>
          <w:tcPr>
            <w:tcW w:w="227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011E096C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Относительное снижение риска (ДИ на уровне 95%)</w:t>
            </w:r>
          </w:p>
        </w:tc>
        <w:tc>
          <w:tcPr>
            <w:tcW w:w="83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85C16EC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</w:p>
        </w:tc>
        <w:tc>
          <w:tcPr>
            <w:tcW w:w="101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7FE85FC1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 (44%, 81%)</w:t>
            </w:r>
          </w:p>
        </w:tc>
        <w:tc>
          <w:tcPr>
            <w:tcW w:w="87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14:paraId="10AE7CCE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75% (55%, 87%)</w:t>
            </w:r>
          </w:p>
        </w:tc>
      </w:tr>
    </w:tbl>
    <w:p w14:paraId="62ED14A9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a Относительное снижение риска, рассчитанное для когорты модифицированной ITT-популяции на основе случаев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сероконверсии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(после исходного уровня). Активные группы исследования сравнивали с плацебо.</w:t>
      </w:r>
    </w:p>
    <w:p w14:paraId="3C3E7E92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Таблица 10: Эффективность и приверженность в исследовании CO-US-104-0380 (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Partners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PrEP</w:t>
      </w:r>
      <w:proofErr w:type="spellEnd"/>
      <w:r w:rsidRPr="00704FB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tbl>
      <w:tblPr>
        <w:tblW w:w="9102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58"/>
        <w:gridCol w:w="1137"/>
        <w:gridCol w:w="2049"/>
        <w:gridCol w:w="1877"/>
        <w:gridCol w:w="981"/>
      </w:tblGrid>
      <w:tr w:rsidR="00F20C90" w:rsidRPr="00704FB4" w14:paraId="7033A45C" w14:textId="77777777" w:rsidTr="00D073DF">
        <w:tc>
          <w:tcPr>
            <w:tcW w:w="1680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448A857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количества исследуемого препарата </w:t>
            </w:r>
          </w:p>
        </w:tc>
        <w:tc>
          <w:tcPr>
            <w:tcW w:w="1767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112E6186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обнаруженного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/общее количество образцов (%)</w:t>
            </w:r>
          </w:p>
        </w:tc>
        <w:tc>
          <w:tcPr>
            <w:tcW w:w="1554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3B6015D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риска для защиты от ВИЧ-1: Обнаружение и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необнаружение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</w:p>
        </w:tc>
      </w:tr>
      <w:tr w:rsidR="00F20C90" w:rsidRPr="00704FB4" w14:paraId="3C820BD6" w14:textId="77777777" w:rsidTr="00D073DF">
        <w:tc>
          <w:tcPr>
            <w:tcW w:w="0" w:type="auto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8355EE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0286729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</w:t>
            </w:r>
          </w:p>
        </w:tc>
        <w:tc>
          <w:tcPr>
            <w:tcW w:w="113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7AE737A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Когорта</w:t>
            </w:r>
          </w:p>
        </w:tc>
        <w:tc>
          <w:tcPr>
            <w:tcW w:w="103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134E632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Относительное снижение риска (ДИ на уровне 95%)</w:t>
            </w:r>
          </w:p>
        </w:tc>
        <w:tc>
          <w:tcPr>
            <w:tcW w:w="5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413F829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p-значение</w:t>
            </w:r>
          </w:p>
        </w:tc>
      </w:tr>
      <w:tr w:rsidR="00F20C90" w:rsidRPr="00704FB4" w14:paraId="570D4156" w14:textId="77777777" w:rsidTr="00D073DF">
        <w:tc>
          <w:tcPr>
            <w:tcW w:w="168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40CEBEE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лечения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эмтрицитабином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дизопроксилом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3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EC3E57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 (25%)</w:t>
            </w:r>
          </w:p>
        </w:tc>
        <w:tc>
          <w:tcPr>
            <w:tcW w:w="113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C472EE6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375/465 (81%)</w:t>
            </w:r>
          </w:p>
        </w:tc>
        <w:tc>
          <w:tcPr>
            <w:tcW w:w="103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1DEDC28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 (56%, 98%)</w:t>
            </w:r>
          </w:p>
        </w:tc>
        <w:tc>
          <w:tcPr>
            <w:tcW w:w="5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DB0E9F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</w:tr>
      <w:tr w:rsidR="00F20C90" w:rsidRPr="00704FB4" w14:paraId="185B71C1" w14:textId="77777777" w:rsidTr="00D073DF">
        <w:tc>
          <w:tcPr>
            <w:tcW w:w="168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290637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лечения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дизопроксилом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63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843F922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6/17 (35%)</w:t>
            </w:r>
          </w:p>
        </w:tc>
        <w:tc>
          <w:tcPr>
            <w:tcW w:w="113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2B97CB3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363/437 (83%)</w:t>
            </w:r>
          </w:p>
        </w:tc>
        <w:tc>
          <w:tcPr>
            <w:tcW w:w="103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0F18F5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 (67%, 95%)</w:t>
            </w:r>
          </w:p>
        </w:tc>
        <w:tc>
          <w:tcPr>
            <w:tcW w:w="5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7E1575F7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 0,001</w:t>
            </w:r>
          </w:p>
        </w:tc>
      </w:tr>
      <w:tr w:rsidR="00F20C90" w:rsidRPr="00704FB4" w14:paraId="49857996" w14:textId="77777777" w:rsidTr="00D073DF">
        <w:tc>
          <w:tcPr>
            <w:tcW w:w="1680" w:type="pct"/>
            <w:vMerge w:val="restar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0727B7AF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Дополнительное исследование приверженности </w:t>
            </w:r>
          </w:p>
        </w:tc>
        <w:tc>
          <w:tcPr>
            <w:tcW w:w="1767" w:type="pct"/>
            <w:gridSpan w:val="2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19BE5B6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дополнительного исследования приверженности b</w:t>
            </w:r>
          </w:p>
        </w:tc>
        <w:tc>
          <w:tcPr>
            <w:tcW w:w="103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36C4C240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355CF08F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0C90" w:rsidRPr="00704FB4" w14:paraId="0913DEAF" w14:textId="77777777" w:rsidTr="00D073DF">
        <w:tc>
          <w:tcPr>
            <w:tcW w:w="0" w:type="auto"/>
            <w:vMerge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0964EF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415FA9D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Плацебо</w:t>
            </w:r>
          </w:p>
        </w:tc>
        <w:tc>
          <w:tcPr>
            <w:tcW w:w="113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0E03E76A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</w:t>
            </w:r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</w:t>
            </w:r>
            <w:proofErr w:type="spellEnd"/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245 мг + </w:t>
            </w:r>
            <w:proofErr w:type="spellStart"/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тенофовира</w:t>
            </w:r>
            <w:proofErr w:type="spellEnd"/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дизопроксила</w:t>
            </w:r>
            <w:proofErr w:type="spellEnd"/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2083"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фумарат</w:t>
            </w:r>
            <w:proofErr w:type="spellEnd"/>
          </w:p>
        </w:tc>
        <w:tc>
          <w:tcPr>
            <w:tcW w:w="103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46D19178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Относительное снижение риска (ДИ на уровне 95%)</w:t>
            </w:r>
          </w:p>
        </w:tc>
        <w:tc>
          <w:tcPr>
            <w:tcW w:w="5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bottom"/>
            <w:hideMark/>
          </w:tcPr>
          <w:p w14:paraId="70C678C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p-значение</w:t>
            </w:r>
          </w:p>
        </w:tc>
      </w:tr>
      <w:tr w:rsidR="00F20C90" w:rsidRPr="00704FB4" w14:paraId="50794169" w14:textId="77777777" w:rsidTr="00D073DF">
        <w:tc>
          <w:tcPr>
            <w:tcW w:w="168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A528D34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Сероконверсия</w:t>
            </w:r>
            <w:proofErr w:type="spellEnd"/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/N b</w:t>
            </w:r>
          </w:p>
        </w:tc>
        <w:tc>
          <w:tcPr>
            <w:tcW w:w="63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2BFFF57C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14/404 (3,5%)</w:t>
            </w:r>
          </w:p>
        </w:tc>
        <w:tc>
          <w:tcPr>
            <w:tcW w:w="1134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579579D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0/745 (0%)</w:t>
            </w:r>
          </w:p>
        </w:tc>
        <w:tc>
          <w:tcPr>
            <w:tcW w:w="103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B22D309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 (87%, 100%)</w:t>
            </w:r>
          </w:p>
        </w:tc>
        <w:tc>
          <w:tcPr>
            <w:tcW w:w="5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206F888" w14:textId="77777777" w:rsidR="00F20C90" w:rsidRPr="00704FB4" w:rsidRDefault="00F20C90" w:rsidP="00D073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 0,001</w:t>
            </w:r>
          </w:p>
        </w:tc>
      </w:tr>
    </w:tbl>
    <w:p w14:paraId="56CF4856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>a «Случай» – ВИЧ-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сероконвертер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, «Когорта» – 100 случайно выбранных субъектов из каждой группы лечения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тенофовира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дизо</w:t>
      </w:r>
      <w:r w:rsidR="00716562" w:rsidRPr="00704FB4">
        <w:rPr>
          <w:rFonts w:ascii="Times New Roman" w:hAnsi="Times New Roman" w:cs="Times New Roman"/>
          <w:color w:val="000000"/>
          <w:sz w:val="20"/>
          <w:szCs w:val="20"/>
        </w:rPr>
        <w:t>проксилом</w:t>
      </w:r>
      <w:proofErr w:type="spellEnd"/>
      <w:r w:rsidR="00716562"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, 245 мг и комбинацией </w:t>
      </w:r>
      <w:proofErr w:type="spellStart"/>
      <w:r w:rsidR="00716562" w:rsidRPr="00704FB4">
        <w:rPr>
          <w:rFonts w:ascii="Times New Roman" w:hAnsi="Times New Roman" w:cs="Times New Roman"/>
          <w:color w:val="000000"/>
          <w:sz w:val="20"/>
          <w:szCs w:val="20"/>
        </w:rPr>
        <w:t>эмтрицитабина</w:t>
      </w:r>
      <w:proofErr w:type="spellEnd"/>
      <w:r w:rsidR="00716562"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 w:rsidR="00716562" w:rsidRPr="00704FB4">
        <w:rPr>
          <w:rFonts w:ascii="Times New Roman" w:hAnsi="Times New Roman" w:cs="Times New Roman"/>
          <w:color w:val="000000"/>
          <w:sz w:val="20"/>
          <w:szCs w:val="20"/>
        </w:rPr>
        <w:t>тенофовира</w:t>
      </w:r>
      <w:proofErr w:type="spellEnd"/>
      <w:r w:rsidR="00716562"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716562" w:rsidRPr="00704FB4">
        <w:rPr>
          <w:rFonts w:ascii="Times New Roman" w:hAnsi="Times New Roman" w:cs="Times New Roman"/>
          <w:color w:val="000000"/>
          <w:sz w:val="20"/>
          <w:szCs w:val="20"/>
        </w:rPr>
        <w:t>дизопроксила</w:t>
      </w:r>
      <w:proofErr w:type="spellEnd"/>
      <w:r w:rsidR="00716562"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716562" w:rsidRPr="00704FB4">
        <w:rPr>
          <w:rFonts w:ascii="Times New Roman" w:hAnsi="Times New Roman" w:cs="Times New Roman"/>
          <w:color w:val="000000"/>
          <w:sz w:val="20"/>
          <w:szCs w:val="20"/>
        </w:rPr>
        <w:t>фумарат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. Только образцы «Случай» или «Когорта», полученные от субъектов, случайным образом распределенных в группы лечения либо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тенофовира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дизопроксилом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, 245 мг, либо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трувадой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, оценивали в отношении наличия обнаруживаемых уровней </w:t>
      </w:r>
      <w:proofErr w:type="spellStart"/>
      <w:r w:rsidRPr="00704FB4">
        <w:rPr>
          <w:rFonts w:ascii="Times New Roman" w:hAnsi="Times New Roman" w:cs="Times New Roman"/>
          <w:color w:val="000000"/>
          <w:sz w:val="20"/>
          <w:szCs w:val="20"/>
        </w:rPr>
        <w:t>тенофовира</w:t>
      </w:r>
      <w:proofErr w:type="spellEnd"/>
      <w:r w:rsidRPr="00704FB4">
        <w:rPr>
          <w:rFonts w:ascii="Times New Roman" w:hAnsi="Times New Roman" w:cs="Times New Roman"/>
          <w:color w:val="000000"/>
          <w:sz w:val="20"/>
          <w:szCs w:val="20"/>
        </w:rPr>
        <w:t xml:space="preserve"> в плазме.</w:t>
      </w:r>
    </w:p>
    <w:p w14:paraId="6916FA5C" w14:textId="77777777" w:rsidR="00F20C90" w:rsidRPr="00704FB4" w:rsidRDefault="00F20C90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4FB4">
        <w:rPr>
          <w:rFonts w:ascii="Times New Roman" w:hAnsi="Times New Roman" w:cs="Times New Roman"/>
          <w:color w:val="000000"/>
          <w:sz w:val="20"/>
          <w:szCs w:val="20"/>
        </w:rPr>
        <w:t>b Участники дополнительного исследования проходили активный контроль приверженности, например, необъявленные визиты на дом и подсчет таблеток, а также консультирование для улучшения соблюдения схемы приема исследуемого препарата.</w:t>
      </w:r>
    </w:p>
    <w:p w14:paraId="318F8393" w14:textId="77777777" w:rsidR="00011142" w:rsidRPr="00704FB4" w:rsidRDefault="00011142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B7644F" w14:textId="77777777" w:rsidR="00A72229" w:rsidRPr="00704FB4" w:rsidRDefault="00A72229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5.</w:t>
      </w:r>
      <w:r w:rsidR="00B56A91" w:rsidRPr="00704FB4">
        <w:rPr>
          <w:rFonts w:ascii="Times New Roman" w:hAnsi="Times New Roman" w:cs="Times New Roman"/>
          <w:b/>
          <w:sz w:val="24"/>
          <w:szCs w:val="24"/>
        </w:rPr>
        <w:t>2. Фармакокинетические свойства</w:t>
      </w:r>
    </w:p>
    <w:p w14:paraId="3B901699" w14:textId="77777777" w:rsidR="005D15DC" w:rsidRPr="00704FB4" w:rsidRDefault="00B56A91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  <w:lang w:eastAsia="ru-RU"/>
        </w:rPr>
      </w:pPr>
      <w:r w:rsidRPr="00704FB4">
        <w:rPr>
          <w:rFonts w:ascii="Times New Roman" w:hAnsi="Times New Roman" w:cs="Times New Roman"/>
          <w:i/>
          <w:sz w:val="24"/>
          <w:szCs w:val="28"/>
          <w:lang w:bidi="ru-RU"/>
        </w:rPr>
        <w:t>Абсорбция</w:t>
      </w:r>
    </w:p>
    <w:p w14:paraId="21BFB4A4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Биоэквивалентность одной покрытой пленочной оболочкой таблетки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C727BE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C727BE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C727BE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C727BE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C727BE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одной твердой капсулы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200 мг и одной покрытой пленочной оболочкой таблетки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245 мг была установлена после применения разовой дозы здоровыми добровольцами натощак. После перорального приёма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5722D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5722D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722D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5722D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722DA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здоровыми добровольцами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быстро всасываются, 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превращается в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Максимальные концентрации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наблюдаются в сыворотке в диапазоне от 0.5 до 3.0 часов после введения натощак. Приём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 едой приводил к задержке достижения максимальных концентраций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приблизительно на три четверти часа и увеличению значений AUC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С</w:t>
      </w:r>
      <w:r w:rsidRPr="00704FB4">
        <w:rPr>
          <w:rFonts w:ascii="Times New Roman" w:eastAsia="Calibri" w:hAnsi="Times New Roman" w:cs="Times New Roman"/>
          <w:sz w:val="24"/>
          <w:szCs w:val="24"/>
          <w:vertAlign w:val="subscript"/>
          <w:lang w:bidi="ar-IQ"/>
        </w:rPr>
        <w:t>max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приблизительно на 35 % и 15 %, соответственно, при приёме с пищей с высоким или низким содержанием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lastRenderedPageBreak/>
        <w:t xml:space="preserve">жиров по сравнению с приёмом натощак. Для оптимизации всасывания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желательно принимать препарат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вместе с едой.</w:t>
      </w:r>
    </w:p>
    <w:p w14:paraId="5281AEE0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Распределение</w:t>
      </w:r>
    </w:p>
    <w:p w14:paraId="541EA329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После внутривенного введения объем распределения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составлял около 1.4 л/кг и 800 мл/кг, соответственно. После перорального введения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широко распределяются во всем организме.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vitro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связывание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 белками плазмы крови человека составляло &lt; 4 % и не зависело от концентрации в диапазоне от 0.02 до 200 мкг/мл. Связывание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vitro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с белками плазмы или с белками сыворотки крови составляло менее 0.7 и 7.2</w:t>
      </w:r>
      <w:r w:rsidRPr="00704FB4">
        <w:rPr>
          <w:rFonts w:ascii="Times New Roman" w:eastAsia="Calibri" w:hAnsi="Times New Roman" w:cs="Times New Roman"/>
          <w:sz w:val="24"/>
          <w:szCs w:val="24"/>
          <w:lang w:val="en-GB" w:bidi="ar-IQ"/>
        </w:rPr>
        <w:t> 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%, соответственно, в диапазоне концентраций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от 0.01 до 25 мкг/мл.</w:t>
      </w:r>
    </w:p>
    <w:p w14:paraId="3666494A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Биотрансформация</w:t>
      </w:r>
      <w:proofErr w:type="spellEnd"/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 </w:t>
      </w:r>
    </w:p>
    <w:p w14:paraId="0D167D38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Метаболизм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ограничен.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Биотрансформация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включает окисление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тиоловой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части с образованием 3’-сульфоксид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диастереомеров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(приблизительно 9 % от дозы) и соединение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глюкуроновой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кислотой с образованием 2’-О-глюкуронида (приблизительно 4 % дозы). Исследования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vitro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показали, что ни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ни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 являются субстратами ферментов CYP450. Ни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, ни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 ингибировали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in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vitro</w:t>
      </w:r>
      <w:proofErr w:type="spellEnd"/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метаболизм препарата, который опосредовался любой из основных изоформ CYP450 человека, принимающих участие в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биотрансформации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препарата. Также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 ингибировал уридин-5’-дифосфоглюкуронил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трансферазу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– фермент, который отвечает за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глюкуронидацию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.</w:t>
      </w:r>
    </w:p>
    <w:p w14:paraId="32CE7EF3" w14:textId="77777777" w:rsidR="005D15DC" w:rsidRPr="00704FB4" w:rsidRDefault="00B56A91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Элиминация</w:t>
      </w:r>
    </w:p>
    <w:p w14:paraId="36E8ED32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главным образом выводится почками при полном определении достигнутой дозы в моче (приблизительно 86 %) и фекалиях (приблизительно 14 %). 13</w:t>
      </w:r>
      <w:r w:rsidRPr="00704FB4">
        <w:rPr>
          <w:rFonts w:ascii="Times New Roman" w:eastAsia="Calibri" w:hAnsi="Times New Roman" w:cs="Times New Roman"/>
          <w:sz w:val="24"/>
          <w:szCs w:val="24"/>
          <w:lang w:val="en-US" w:bidi="ar-IQ"/>
        </w:rPr>
        <w:t> 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% дозы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определялись в моче как три метаболита. Системный клиренс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среднем составлял </w:t>
      </w:r>
      <w:r w:rsidR="000B56E4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307 мл/мин. После перорального введения период полувыведения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составляет около 10 часов.</w:t>
      </w:r>
    </w:p>
    <w:p w14:paraId="20E0647E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главным образом выводится почками, как путем фильтрации, так и с помощью активной тубулярной транспортной системы, при этом после внутривенного введения приблизительно 70-80 % дозы выводится в неизменённом состоянии с мочой. Примерный средний клиренс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составляет около 307 мл/мин. Почечный клиренс был оценен в приблизительно 210 мл/мин, что превышает скорость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гломерулярной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фильтрации. Это указывает на то, что тубулярная секреция является важной частью выведения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После перорального введения период полувыведения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составляет около 12-18 часов.</w:t>
      </w:r>
    </w:p>
    <w:p w14:paraId="5B7BFAA2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Пожилые пациенты</w:t>
      </w:r>
    </w:p>
    <w:p w14:paraId="3E4AEFEB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Фармакокинетические исследования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 пожилого возраста (в возрасте от 65 лет) не проводились. </w:t>
      </w:r>
    </w:p>
    <w:p w14:paraId="5BE2E6C2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Пол</w:t>
      </w: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 </w:t>
      </w:r>
    </w:p>
    <w:p w14:paraId="2ABB78E5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Фармакокинетика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 мужского и женского пола идентична.</w:t>
      </w:r>
    </w:p>
    <w:p w14:paraId="7519A98D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 xml:space="preserve">Этническая принадлежность </w:t>
      </w:r>
    </w:p>
    <w:p w14:paraId="748A878C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Не обнаружено клинически значимых различий фармакокинетики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представителей разных этнических групп. Особенности фармакокинетики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представителей разных этнических групп не изучались.</w:t>
      </w:r>
    </w:p>
    <w:p w14:paraId="017EF37C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Нарушения функции почек</w:t>
      </w:r>
    </w:p>
    <w:p w14:paraId="7E4F85A1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Существуют ограниченные данные по фармакокинетике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 с нарушениями функции почек после одновременного введения в виде отдельных препаратов или в составе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Параметры фармакокинетики главным образом определялись 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lastRenderedPageBreak/>
        <w:t xml:space="preserve">после введения разовых доз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200 мг или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245 мг пациентам, неинфицированным ВИЧ с разными степенями нарушения функции почек. Степень нарушения функции почек определялась соответственно исходным значениям клиренса креатинина (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CrCl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) (нормальная функция почек при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CrCl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&gt; 80 мл/мин; незначительные нарушения при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CrCl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= 50-79 мл/мин; умеренные нарушения при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CrCl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= 30-49 мл/мин и тяжелые нарушения при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CrCl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= 10-29 мл/мин).</w:t>
      </w:r>
    </w:p>
    <w:p w14:paraId="4BC66A6C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Средняя (% CV) экспозиция 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увеличивалась с 12 (25 %) мкг*час/мл у пациентов с нормальной функцией почек до 20 (6 %) мкг*час/мл, 25 (23 %) мкг*час/мл и 34 (6 %) мкг*час/мл у пациентов с незначительными, умеренными и тяжелыми нарушениями функции почек соответственно.</w:t>
      </w:r>
    </w:p>
    <w:p w14:paraId="15ED9D0F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Средняя (% CV) экспозиция к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тенофовиру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увеличивалась с 2,185 (12 %)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*час/мл у пациентов с нормальной функцией почек до 3,064 (30 %)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*час/мл, 6,009 (42 %)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*час/мл и 15,985 (45 %)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*час/мл у пациентов с незначительными, умеренными и тяжелыми нарушениями функции почек соответственно.</w:t>
      </w:r>
    </w:p>
    <w:p w14:paraId="57AF0A89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Ожидается, что увеличенный интервал дозирования препаратом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ВИЧ-1 инфицированных пациентов с умеренными почечными нарушениями в сравнении с пациентами с нормальной функцией почек приведет к большим пиковым концентрациям в плазме крови и более низким уровням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</w:t>
      </w:r>
      <w:r w:rsidRPr="00704FB4">
        <w:rPr>
          <w:rFonts w:ascii="Times New Roman" w:eastAsia="Calibri" w:hAnsi="Times New Roman" w:cs="Times New Roman"/>
          <w:sz w:val="24"/>
          <w:szCs w:val="24"/>
          <w:vertAlign w:val="subscript"/>
          <w:lang w:bidi="ar-IQ"/>
        </w:rPr>
        <w:t>min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. </w:t>
      </w:r>
    </w:p>
    <w:p w14:paraId="71340B8C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У пациентов с терминальной стадией заболевания почек (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end-stage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renal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disease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– ESRD), которым необходим гемодиализ, экспозиция к препарату значительно увеличивалась в течение 72 часов до 53 (19 %) мкг*час/мл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в течение 48 часов до 42,857 (29 %)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*час/мл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.</w:t>
      </w:r>
    </w:p>
    <w:p w14:paraId="74ABFBA2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Было проведено небольшое клиническое исследование по оценке безопасности, антивирусной активности и фармакокинетики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комбинации с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эмтрицитабином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ВИЧ-инфицированных пациентов с нарушениями функции почек. В подгруппе пациентов с исходными клиренсом креатинина 50-60 мл/мин приём препарата 1 раз в сутки приводил к повышению экспозиции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в 2–4 раза и ухудшению функции почек.</w:t>
      </w:r>
    </w:p>
    <w:p w14:paraId="04E166C6" w14:textId="77777777" w:rsidR="005D15DC" w:rsidRPr="00704FB4" w:rsidRDefault="005D15DC" w:rsidP="00D073DF">
      <w:pPr>
        <w:keepNext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i/>
          <w:iCs/>
          <w:sz w:val="24"/>
          <w:szCs w:val="24"/>
          <w:lang w:bidi="ar-IQ"/>
        </w:rPr>
        <w:t>Нарушения функции печени</w:t>
      </w:r>
      <w:r w:rsidRPr="00704FB4">
        <w:rPr>
          <w:rFonts w:ascii="Times New Roman" w:eastAsia="Calibri" w:hAnsi="Times New Roman" w:cs="Times New Roman"/>
          <w:i/>
          <w:sz w:val="24"/>
          <w:szCs w:val="24"/>
          <w:lang w:bidi="ar-IQ"/>
        </w:rPr>
        <w:t xml:space="preserve"> </w:t>
      </w:r>
    </w:p>
    <w:p w14:paraId="56306337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Фармакокинетика препарата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</w:t>
      </w:r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а</w:t>
      </w:r>
      <w:proofErr w:type="spellEnd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="005D4A41"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фумарат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 с нарушениями функции печени не изучалась</w:t>
      </w:r>
    </w:p>
    <w:p w14:paraId="195B120B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Фармакокинетика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не исследована у пациентов, неинфицированных вирусом гепатита В, с разными степенями печеночной недостаточности. В целом, фармакокинетика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пациентов, инфицированных вирусом гепатита В, была аналогичной фармакокинетике у здоровых лиц и ВИЧ-инфицированных пациентов.</w:t>
      </w:r>
    </w:p>
    <w:p w14:paraId="55CFFA66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Разовую дозу 245 мг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дизопроксила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применяли у пациентов, неинфицированных ВИЧ с разными степенями нарушений функции печени, которые определялись соответственно классификации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Child-Pugh-Turcotte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(CPT). Параметры фармакокинетики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у пациентов с нарушениями функции печени не подвергались существенным изменениям, что указывало на отсутствие потребности в коррекции дозы для этих пациентов. Средние (% CV) значения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C</w:t>
      </w:r>
      <w:r w:rsidRPr="00704FB4">
        <w:rPr>
          <w:rFonts w:ascii="Times New Roman" w:eastAsia="Calibri" w:hAnsi="Times New Roman" w:cs="Times New Roman"/>
          <w:sz w:val="24"/>
          <w:szCs w:val="24"/>
          <w:vertAlign w:val="subscript"/>
          <w:lang w:bidi="ar-IQ"/>
        </w:rPr>
        <w:t>max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и AUC</w:t>
      </w:r>
      <w:r w:rsidRPr="00704FB4">
        <w:rPr>
          <w:rFonts w:ascii="Times New Roman" w:eastAsia="Calibri" w:hAnsi="Times New Roman" w:cs="Times New Roman"/>
          <w:sz w:val="24"/>
          <w:szCs w:val="24"/>
          <w:vertAlign w:val="subscript"/>
          <w:lang w:bidi="ar-IQ"/>
        </w:rPr>
        <w:t>0-∞</w:t>
      </w:r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 составляли 223 (34.8 %)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/мл и 2,050 (50.8 %)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*час/мл, соответственно, у лиц без нарушений функции печени в сравнении с 289 (46.0 %)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/мл и 2,310 (43.5 %)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*час/мл у пациентов с умеренными нарушениями функции печени и 305 (24.8 %)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/мл и 2,740 (44.0 %) </w:t>
      </w:r>
      <w:proofErr w:type="spellStart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нг</w:t>
      </w:r>
      <w:proofErr w:type="spellEnd"/>
      <w:r w:rsidRPr="00704FB4">
        <w:rPr>
          <w:rFonts w:ascii="Times New Roman" w:eastAsia="Calibri" w:hAnsi="Times New Roman" w:cs="Times New Roman"/>
          <w:sz w:val="24"/>
          <w:szCs w:val="24"/>
          <w:lang w:bidi="ar-IQ"/>
        </w:rPr>
        <w:t>*час/мл у пациентов с тяжелыми нарушениями функции печени.</w:t>
      </w:r>
    </w:p>
    <w:p w14:paraId="26C6030F" w14:textId="77777777" w:rsidR="00B56A91" w:rsidRPr="00704FB4" w:rsidRDefault="00B56A91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</w:p>
    <w:p w14:paraId="15700E6C" w14:textId="77777777" w:rsidR="00CB45A7" w:rsidRPr="00704FB4" w:rsidRDefault="00CB45A7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704F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5.3. </w:t>
      </w:r>
      <w:r w:rsidRPr="00704FB4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Данные доклинической безопасности</w:t>
      </w:r>
    </w:p>
    <w:p w14:paraId="06E61304" w14:textId="77777777" w:rsidR="00866A7A" w:rsidRPr="00704FB4" w:rsidRDefault="00866A7A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Эмтрицитабин</w:t>
      </w:r>
      <w:proofErr w:type="spellEnd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642A45"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оклинические данные по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эмтрицитабину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выявили особой опасности для человека, основанной на традиционных исследованиях фармакологии 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безопасности, токсичности при повторных дозах,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генотоксичности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канцерогенного потенциала и токсичности для размножения и развития.</w:t>
      </w:r>
    </w:p>
    <w:p w14:paraId="43742265" w14:textId="77777777" w:rsidR="00866A7A" w:rsidRPr="00704FB4" w:rsidRDefault="00866A7A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Тенофовира</w:t>
      </w:r>
      <w:proofErr w:type="spellEnd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дизопроксил</w:t>
      </w:r>
      <w:proofErr w:type="spellEnd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642A45"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оклинические исследования фармакологии безопасности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тенофовира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дисопроксила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выявили особой опасности для человека. Исследования токсичности при повторных дозах на крысах, собаках и обезьянах при уровнях воздействия, превышающих или равных уровням клинического воздействия, и, возможно, относящихся к клиническому применению, включают токсичность для почек и костей и снижение концентрации фосфата в сыворотке.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Остеотоксичность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диагностирована как остеомаляция (у обезьян) и снижение МПК (у крыс и собак).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Остеотоксичность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молодых взрослых крыс и собак наблюдалась при ≥ 5-кратном воздействии у детей или взрослых пациентов; она возникала у ювенильных инфицированных обезьян при очень высоких дозах после подкожного введения (≥ 40-кратная концентрация у пациентов). Результаты исследований, проведенных на крысах и обезьянах, показали, что произошло уменьшение связанного с веществом всасывания фосфата в кишечнике с возможным вторичным снижением МПК.</w:t>
      </w:r>
    </w:p>
    <w:p w14:paraId="59586165" w14:textId="77777777" w:rsidR="00866A7A" w:rsidRPr="00704FB4" w:rsidRDefault="00866A7A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Исследования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генотоксичности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выявили положительные результаты в анализе лимфомы мыши </w:t>
      </w:r>
      <w:proofErr w:type="spellStart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vitro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двусмысленные результаты в одном из штаммов, использованных в тесте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Эймса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слабо положительные результаты в тесте UDS в первичных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гепатоцитах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крысы. Однако он был отрицательным в анализе </w:t>
      </w:r>
      <w:proofErr w:type="spellStart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микроядер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костного мозга мышей </w:t>
      </w:r>
      <w:proofErr w:type="spellStart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04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vivo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9D3E54" w14:textId="77777777" w:rsidR="00866A7A" w:rsidRPr="00704FB4" w:rsidRDefault="00866A7A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канцерогенности при пероральном введении на крысах и мышах выявили только низкую частоту опухолей двенадцатиперстной кишки при чрезвычайно высокой дозе у мышей. Эти опухоли вряд ли будут иметь отношение к людям.</w:t>
      </w:r>
    </w:p>
    <w:p w14:paraId="616CDFCD" w14:textId="77777777" w:rsidR="00866A7A" w:rsidRPr="00704FB4" w:rsidRDefault="00866A7A" w:rsidP="00D0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репродуктивной токсичности на крысах и кроликах не выявили влияния на показатели спаривания, фертильности, беременности или парамет</w:t>
      </w:r>
      <w:r w:rsidR="00642A45"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 плода. Однако </w:t>
      </w:r>
      <w:proofErr w:type="spellStart"/>
      <w:r w:rsidR="00642A45"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тенофовира</w:t>
      </w:r>
      <w:proofErr w:type="spellEnd"/>
      <w:r w:rsidR="00642A45"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2A45"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</w:t>
      </w:r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опроксил</w:t>
      </w:r>
      <w:proofErr w:type="spellEnd"/>
      <w:r w:rsidRPr="0070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снижал индекс жизнеспособности и вес щенков в перинатальном и постнатальном исследовании токсичности при дозах, токсичных для матери.</w:t>
      </w:r>
    </w:p>
    <w:p w14:paraId="28D299A9" w14:textId="77777777" w:rsidR="00CB45A7" w:rsidRPr="00704FB4" w:rsidRDefault="00866A7A" w:rsidP="00D073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4FB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Комбинация </w:t>
      </w:r>
      <w:proofErr w:type="spellStart"/>
      <w:r w:rsidRPr="00704FB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эмтрицитабина</w:t>
      </w:r>
      <w:proofErr w:type="spellEnd"/>
      <w:r w:rsidRPr="00704FB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704FB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тенофовира</w:t>
      </w:r>
      <w:proofErr w:type="spellEnd"/>
      <w:r w:rsidRPr="00704FB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04FB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дисопроксила</w:t>
      </w:r>
      <w:proofErr w:type="spellEnd"/>
      <w:r w:rsidRPr="00704FB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:</w:t>
      </w:r>
      <w:r w:rsidR="00642A45" w:rsidRPr="00704F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</w:t>
      </w:r>
      <w:r w:rsidRPr="00704F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сследования </w:t>
      </w:r>
      <w:proofErr w:type="spellStart"/>
      <w:r w:rsidRPr="00704FB4">
        <w:rPr>
          <w:rFonts w:ascii="Times New Roman" w:eastAsia="Calibri" w:hAnsi="Times New Roman" w:cs="Times New Roman"/>
          <w:color w:val="000000"/>
          <w:sz w:val="24"/>
          <w:szCs w:val="24"/>
        </w:rPr>
        <w:t>генотоксичности</w:t>
      </w:r>
      <w:proofErr w:type="spellEnd"/>
      <w:r w:rsidRPr="00704F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токсичности при повторных дозах в течение одного месяца или менее с комбинацией этих двух компонентов не выявили обострения токсикологических эффектов по сравнению с исследованиями отдельных компонентов.</w:t>
      </w:r>
    </w:p>
    <w:p w14:paraId="325DA83C" w14:textId="77777777" w:rsidR="00866A7A" w:rsidRPr="00704FB4" w:rsidRDefault="00866A7A" w:rsidP="00D0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IQ"/>
        </w:rPr>
      </w:pPr>
    </w:p>
    <w:p w14:paraId="4E0BD658" w14:textId="77777777" w:rsidR="00A72229" w:rsidRPr="00704FB4" w:rsidRDefault="00B56A91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6. ФАРМАЦЕВТИЧЕСКИЕ СВОЙСТВА</w:t>
      </w:r>
    </w:p>
    <w:p w14:paraId="372AD1ED" w14:textId="77777777" w:rsidR="00A72229" w:rsidRPr="00704FB4" w:rsidRDefault="00A72229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6.1. П</w:t>
      </w:r>
      <w:r w:rsidR="00B56A91" w:rsidRPr="00704FB4">
        <w:rPr>
          <w:rFonts w:ascii="Times New Roman" w:hAnsi="Times New Roman" w:cs="Times New Roman"/>
          <w:b/>
          <w:sz w:val="24"/>
          <w:szCs w:val="24"/>
        </w:rPr>
        <w:t>еречень вспомогательных веществ</w:t>
      </w:r>
    </w:p>
    <w:p w14:paraId="00C4306B" w14:textId="77777777" w:rsidR="007B4071" w:rsidRPr="00704FB4" w:rsidRDefault="007A5412" w:rsidP="00D073DF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Л</w:t>
      </w:r>
      <w:r w:rsidR="005D15DC" w:rsidRPr="00704FB4">
        <w:rPr>
          <w:rFonts w:ascii="Times New Roman" w:hAnsi="Times New Roman" w:cs="Times New Roman"/>
          <w:sz w:val="24"/>
          <w:szCs w:val="24"/>
        </w:rPr>
        <w:t xml:space="preserve">актоза безводная </w:t>
      </w:r>
      <w:r w:rsidR="00A77829" w:rsidRPr="00704F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7829" w:rsidRPr="00704FB4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="00A77829" w:rsidRPr="00704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829" w:rsidRPr="00704FB4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="00A77829" w:rsidRPr="00704FB4">
        <w:rPr>
          <w:rFonts w:ascii="Times New Roman" w:hAnsi="Times New Roman" w:cs="Times New Roman"/>
          <w:sz w:val="24"/>
          <w:szCs w:val="24"/>
        </w:rPr>
        <w:t xml:space="preserve"> 24 AN)</w:t>
      </w:r>
    </w:p>
    <w:p w14:paraId="018218A5" w14:textId="77777777" w:rsidR="007B4071" w:rsidRPr="00704FB4" w:rsidRDefault="007A541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Ц</w:t>
      </w:r>
      <w:r w:rsidR="005D15DC" w:rsidRPr="00704FB4">
        <w:rPr>
          <w:rFonts w:ascii="Times New Roman" w:hAnsi="Times New Roman" w:cs="Times New Roman"/>
          <w:sz w:val="24"/>
          <w:szCs w:val="24"/>
        </w:rPr>
        <w:t xml:space="preserve">еллюлоза микрокристаллическая </w:t>
      </w:r>
      <w:r w:rsidR="00A77829" w:rsidRPr="00704F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7829" w:rsidRPr="00704FB4">
        <w:rPr>
          <w:rFonts w:ascii="Times New Roman" w:hAnsi="Times New Roman" w:cs="Times New Roman"/>
          <w:sz w:val="24"/>
          <w:szCs w:val="24"/>
        </w:rPr>
        <w:t>Avicel</w:t>
      </w:r>
      <w:proofErr w:type="spellEnd"/>
      <w:r w:rsidR="00A77829" w:rsidRPr="00704FB4">
        <w:rPr>
          <w:rFonts w:ascii="Times New Roman" w:hAnsi="Times New Roman" w:cs="Times New Roman"/>
          <w:sz w:val="24"/>
          <w:szCs w:val="24"/>
        </w:rPr>
        <w:t xml:space="preserve"> PH 112)</w:t>
      </w:r>
    </w:p>
    <w:p w14:paraId="76F82604" w14:textId="77777777" w:rsidR="007B4071" w:rsidRPr="00704FB4" w:rsidRDefault="007A541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Н</w:t>
      </w:r>
      <w:r w:rsidR="005D15DC" w:rsidRPr="00704FB4">
        <w:rPr>
          <w:rFonts w:ascii="Times New Roman" w:hAnsi="Times New Roman" w:cs="Times New Roman"/>
          <w:sz w:val="24"/>
          <w:szCs w:val="24"/>
        </w:rPr>
        <w:t>атр</w:t>
      </w:r>
      <w:r w:rsidR="00EA0E41" w:rsidRPr="00704FB4">
        <w:rPr>
          <w:rFonts w:ascii="Times New Roman" w:hAnsi="Times New Roman" w:cs="Times New Roman"/>
          <w:sz w:val="24"/>
          <w:szCs w:val="24"/>
        </w:rPr>
        <w:t xml:space="preserve">ия </w:t>
      </w:r>
      <w:proofErr w:type="spellStart"/>
      <w:r w:rsidR="00EA0E41" w:rsidRPr="00704FB4">
        <w:rPr>
          <w:rFonts w:ascii="Times New Roman" w:hAnsi="Times New Roman" w:cs="Times New Roman"/>
          <w:sz w:val="24"/>
          <w:szCs w:val="24"/>
        </w:rPr>
        <w:t>кроскармеллоза</w:t>
      </w:r>
      <w:proofErr w:type="spellEnd"/>
      <w:r w:rsidR="00EA0E41" w:rsidRPr="00704FB4">
        <w:rPr>
          <w:rFonts w:ascii="Times New Roman" w:hAnsi="Times New Roman" w:cs="Times New Roman"/>
          <w:sz w:val="24"/>
          <w:szCs w:val="24"/>
        </w:rPr>
        <w:t xml:space="preserve"> </w:t>
      </w:r>
      <w:r w:rsidR="00A77829" w:rsidRPr="00704FB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7829" w:rsidRPr="00704FB4">
        <w:rPr>
          <w:rFonts w:ascii="Times New Roman" w:hAnsi="Times New Roman" w:cs="Times New Roman"/>
          <w:sz w:val="24"/>
          <w:szCs w:val="24"/>
        </w:rPr>
        <w:t>Ac-di-sol</w:t>
      </w:r>
      <w:proofErr w:type="spellEnd"/>
      <w:r w:rsidR="00A77829" w:rsidRPr="00704FB4">
        <w:rPr>
          <w:rFonts w:ascii="Times New Roman" w:hAnsi="Times New Roman" w:cs="Times New Roman"/>
          <w:sz w:val="24"/>
          <w:szCs w:val="24"/>
        </w:rPr>
        <w:t>)</w:t>
      </w:r>
    </w:p>
    <w:p w14:paraId="28D75602" w14:textId="77777777" w:rsidR="005D15DC" w:rsidRPr="00704FB4" w:rsidRDefault="007A541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М</w:t>
      </w:r>
      <w:r w:rsidR="007B4071" w:rsidRPr="00704FB4">
        <w:rPr>
          <w:rFonts w:ascii="Times New Roman" w:hAnsi="Times New Roman" w:cs="Times New Roman"/>
          <w:sz w:val="24"/>
          <w:szCs w:val="24"/>
        </w:rPr>
        <w:t xml:space="preserve">агния </w:t>
      </w:r>
      <w:proofErr w:type="spellStart"/>
      <w:r w:rsidR="007B4071" w:rsidRPr="00704FB4">
        <w:rPr>
          <w:rFonts w:ascii="Times New Roman" w:hAnsi="Times New Roman" w:cs="Times New Roman"/>
          <w:sz w:val="24"/>
          <w:szCs w:val="24"/>
        </w:rPr>
        <w:t>стеарат</w:t>
      </w:r>
      <w:proofErr w:type="spellEnd"/>
    </w:p>
    <w:p w14:paraId="680B6144" w14:textId="77777777" w:rsidR="007B4071" w:rsidRPr="00704FB4" w:rsidRDefault="007A541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i/>
          <w:sz w:val="24"/>
          <w:szCs w:val="24"/>
        </w:rPr>
        <w:t>С</w:t>
      </w:r>
      <w:r w:rsidR="005D15DC" w:rsidRPr="00704FB4">
        <w:rPr>
          <w:rFonts w:ascii="Times New Roman" w:hAnsi="Times New Roman" w:cs="Times New Roman"/>
          <w:i/>
          <w:sz w:val="24"/>
          <w:szCs w:val="24"/>
        </w:rPr>
        <w:t>остав пленочной оболочки:</w:t>
      </w:r>
      <w:r w:rsidR="005D15DC" w:rsidRPr="00704F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F660A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FB4">
        <w:rPr>
          <w:rFonts w:ascii="Times New Roman" w:hAnsi="Times New Roman" w:cs="Times New Roman"/>
          <w:sz w:val="24"/>
          <w:szCs w:val="24"/>
        </w:rPr>
        <w:t>Опадр</w:t>
      </w:r>
      <w:r w:rsidR="000F6112" w:rsidRPr="00704FB4">
        <w:rPr>
          <w:rFonts w:ascii="Times New Roman" w:hAnsi="Times New Roman" w:cs="Times New Roman"/>
          <w:sz w:val="24"/>
          <w:szCs w:val="24"/>
        </w:rPr>
        <w:t>ай</w:t>
      </w:r>
      <w:proofErr w:type="spellEnd"/>
      <w:r w:rsidRPr="00704FB4">
        <w:rPr>
          <w:rFonts w:ascii="Times New Roman" w:hAnsi="Times New Roman" w:cs="Times New Roman"/>
          <w:sz w:val="24"/>
          <w:szCs w:val="24"/>
        </w:rPr>
        <w:t xml:space="preserve"> II Голубой </w:t>
      </w:r>
      <w:r w:rsidR="005D15DC" w:rsidRPr="00704FB4">
        <w:rPr>
          <w:rFonts w:ascii="Times New Roman" w:hAnsi="Times New Roman" w:cs="Times New Roman"/>
          <w:sz w:val="24"/>
          <w:szCs w:val="24"/>
        </w:rPr>
        <w:t>32K505040</w:t>
      </w:r>
      <w:r w:rsidRPr="00704FB4">
        <w:rPr>
          <w:rFonts w:ascii="Times New Roman" w:hAnsi="Times New Roman" w:cs="Times New Roman"/>
          <w:sz w:val="24"/>
          <w:szCs w:val="24"/>
        </w:rPr>
        <w:t>:</w:t>
      </w:r>
    </w:p>
    <w:p w14:paraId="591A5C88" w14:textId="77777777" w:rsidR="007B4071" w:rsidRPr="00704FB4" w:rsidRDefault="007A541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FB4">
        <w:rPr>
          <w:rFonts w:ascii="Times New Roman" w:hAnsi="Times New Roman" w:cs="Times New Roman"/>
          <w:sz w:val="24"/>
          <w:szCs w:val="24"/>
        </w:rPr>
        <w:t>Г</w:t>
      </w:r>
      <w:r w:rsidR="007B4071" w:rsidRPr="00704FB4">
        <w:rPr>
          <w:rFonts w:ascii="Times New Roman" w:hAnsi="Times New Roman" w:cs="Times New Roman"/>
          <w:sz w:val="24"/>
          <w:szCs w:val="24"/>
        </w:rPr>
        <w:t>ипромеллоза</w:t>
      </w:r>
      <w:proofErr w:type="spellEnd"/>
      <w:r w:rsidR="007B4071" w:rsidRPr="00704FB4">
        <w:rPr>
          <w:rFonts w:ascii="Times New Roman" w:hAnsi="Times New Roman" w:cs="Times New Roman"/>
          <w:sz w:val="24"/>
          <w:szCs w:val="24"/>
        </w:rPr>
        <w:t xml:space="preserve"> 2910</w:t>
      </w:r>
    </w:p>
    <w:p w14:paraId="635CB182" w14:textId="77777777" w:rsidR="007B4071" w:rsidRPr="00704FB4" w:rsidRDefault="007A541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Л</w:t>
      </w:r>
      <w:r w:rsidR="007B4071" w:rsidRPr="00704FB4">
        <w:rPr>
          <w:rFonts w:ascii="Times New Roman" w:hAnsi="Times New Roman" w:cs="Times New Roman"/>
          <w:sz w:val="24"/>
          <w:szCs w:val="24"/>
        </w:rPr>
        <w:t>актозы моногидрат</w:t>
      </w:r>
    </w:p>
    <w:p w14:paraId="7612BBD7" w14:textId="77777777" w:rsidR="007B4071" w:rsidRPr="00704FB4" w:rsidRDefault="007A541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Т</w:t>
      </w:r>
      <w:r w:rsidR="007B4071" w:rsidRPr="00704FB4">
        <w:rPr>
          <w:rFonts w:ascii="Times New Roman" w:hAnsi="Times New Roman" w:cs="Times New Roman"/>
          <w:sz w:val="24"/>
          <w:szCs w:val="24"/>
        </w:rPr>
        <w:t>итана диоксид (Е171)</w:t>
      </w:r>
    </w:p>
    <w:p w14:paraId="47BD0B5C" w14:textId="77777777" w:rsidR="007B4071" w:rsidRPr="00704FB4" w:rsidRDefault="007A5412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FB4">
        <w:rPr>
          <w:rFonts w:ascii="Times New Roman" w:hAnsi="Times New Roman" w:cs="Times New Roman"/>
          <w:sz w:val="24"/>
          <w:szCs w:val="24"/>
        </w:rPr>
        <w:t>Т</w:t>
      </w:r>
      <w:r w:rsidR="007B4071" w:rsidRPr="00704FB4">
        <w:rPr>
          <w:rFonts w:ascii="Times New Roman" w:hAnsi="Times New Roman" w:cs="Times New Roman"/>
          <w:sz w:val="24"/>
          <w:szCs w:val="24"/>
        </w:rPr>
        <w:t>риацетин</w:t>
      </w:r>
      <w:proofErr w:type="spellEnd"/>
    </w:p>
    <w:p w14:paraId="3A69A3C3" w14:textId="160654B0" w:rsidR="005D15DC" w:rsidRPr="00704FB4" w:rsidRDefault="005D15DC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FD&amp;C Голубой # 2 Индиго</w:t>
      </w:r>
      <w:r w:rsidR="007B4071" w:rsidRPr="00704FB4">
        <w:rPr>
          <w:rFonts w:ascii="Times New Roman" w:hAnsi="Times New Roman" w:cs="Times New Roman"/>
          <w:sz w:val="24"/>
          <w:szCs w:val="24"/>
        </w:rPr>
        <w:t>кармина алюминиевый лак (Е132)</w:t>
      </w:r>
    </w:p>
    <w:p w14:paraId="01BC336E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DB04B" w14:textId="77777777" w:rsidR="00A72229" w:rsidRPr="00704FB4" w:rsidRDefault="00A72229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6.2. Несо</w:t>
      </w:r>
      <w:r w:rsidR="007B4071" w:rsidRPr="00704FB4">
        <w:rPr>
          <w:rFonts w:ascii="Times New Roman" w:hAnsi="Times New Roman" w:cs="Times New Roman"/>
          <w:b/>
          <w:sz w:val="24"/>
          <w:szCs w:val="24"/>
        </w:rPr>
        <w:t>вместимость</w:t>
      </w:r>
    </w:p>
    <w:p w14:paraId="243102F8" w14:textId="1C8017E9" w:rsidR="00A72229" w:rsidRPr="00704FB4" w:rsidRDefault="00A72229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Неизвестно.</w:t>
      </w:r>
    </w:p>
    <w:p w14:paraId="074BA6C9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A1374" w14:textId="77777777" w:rsidR="00A72229" w:rsidRPr="00704FB4" w:rsidRDefault="00A72229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 xml:space="preserve">6.3. Срок годности </w:t>
      </w:r>
    </w:p>
    <w:p w14:paraId="40D95050" w14:textId="31AD5B18" w:rsidR="00A72229" w:rsidRPr="00704FB4" w:rsidRDefault="000D7BC1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3</w:t>
      </w:r>
      <w:r w:rsidR="00A72229" w:rsidRPr="00704FB4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BEADA9C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lastRenderedPageBreak/>
        <w:t>Не применять по истечении срока годности.</w:t>
      </w:r>
    </w:p>
    <w:p w14:paraId="2BD192CD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98D54" w14:textId="77777777" w:rsidR="00A72229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="00A72229" w:rsidRPr="00704FB4">
        <w:rPr>
          <w:rFonts w:ascii="Times New Roman" w:hAnsi="Times New Roman" w:cs="Times New Roman"/>
          <w:b/>
          <w:sz w:val="24"/>
          <w:szCs w:val="24"/>
        </w:rPr>
        <w:t>Особые мер</w:t>
      </w:r>
      <w:r w:rsidRPr="00704FB4">
        <w:rPr>
          <w:rFonts w:ascii="Times New Roman" w:hAnsi="Times New Roman" w:cs="Times New Roman"/>
          <w:b/>
          <w:sz w:val="24"/>
          <w:szCs w:val="24"/>
        </w:rPr>
        <w:t>ы предосторожности при хранении</w:t>
      </w:r>
    </w:p>
    <w:p w14:paraId="7DAF9499" w14:textId="77777777" w:rsidR="00A72229" w:rsidRPr="00704FB4" w:rsidRDefault="00A72229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Хранить в сухом, защищенном от света месте</w:t>
      </w:r>
      <w:r w:rsidR="005D15DC" w:rsidRPr="00704FB4">
        <w:rPr>
          <w:rFonts w:ascii="Times New Roman" w:hAnsi="Times New Roman" w:cs="Times New Roman"/>
          <w:sz w:val="24"/>
          <w:szCs w:val="24"/>
        </w:rPr>
        <w:t>,</w:t>
      </w:r>
      <w:r w:rsidRPr="00704FB4">
        <w:rPr>
          <w:rFonts w:ascii="Times New Roman" w:hAnsi="Times New Roman" w:cs="Times New Roman"/>
          <w:sz w:val="24"/>
          <w:szCs w:val="24"/>
        </w:rPr>
        <w:t xml:space="preserve"> при температуре не выше 30 </w:t>
      </w:r>
      <w:r w:rsidRPr="00704FB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04FB4">
        <w:rPr>
          <w:rFonts w:ascii="Times New Roman" w:hAnsi="Times New Roman" w:cs="Times New Roman"/>
          <w:sz w:val="24"/>
          <w:szCs w:val="24"/>
        </w:rPr>
        <w:t>С.</w:t>
      </w:r>
    </w:p>
    <w:p w14:paraId="53E49D8E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Хранить в недоступном для детей месте!</w:t>
      </w:r>
    </w:p>
    <w:p w14:paraId="047D20B0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BBA15" w14:textId="77777777" w:rsidR="00A72229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FB4">
        <w:rPr>
          <w:rFonts w:ascii="Times New Roman" w:hAnsi="Times New Roman" w:cs="Times New Roman"/>
          <w:b/>
          <w:sz w:val="24"/>
          <w:szCs w:val="24"/>
        </w:rPr>
        <w:t>6.5. Форма выпуска и упаковка</w:t>
      </w:r>
    </w:p>
    <w:p w14:paraId="0CFE8FAC" w14:textId="77777777" w:rsidR="005D15DC" w:rsidRPr="00704FB4" w:rsidRDefault="005D15DC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FB4">
        <w:rPr>
          <w:rFonts w:ascii="Times New Roman" w:hAnsi="Times New Roman" w:cs="Times New Roman"/>
          <w:bCs/>
          <w:sz w:val="24"/>
          <w:szCs w:val="24"/>
        </w:rPr>
        <w:t>По 30 или 90 таблеток помещают в полиэтиленовый контейнер высокой плотности.</w:t>
      </w:r>
    </w:p>
    <w:p w14:paraId="1CDA7D5F" w14:textId="77777777" w:rsidR="00896FC0" w:rsidRPr="00704FB4" w:rsidRDefault="00896FC0" w:rsidP="00D073D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04FB4">
        <w:rPr>
          <w:rFonts w:ascii="Times New Roman" w:eastAsia="Batang" w:hAnsi="Times New Roman" w:cs="Times New Roman"/>
          <w:sz w:val="24"/>
          <w:szCs w:val="24"/>
        </w:rPr>
        <w:t>Во флаконе содержится поглотитель влаги силикагель.</w:t>
      </w:r>
    </w:p>
    <w:p w14:paraId="05086EB8" w14:textId="77777777" w:rsidR="007B4071" w:rsidRPr="00704FB4" w:rsidRDefault="00896FC0" w:rsidP="00D073DF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04FB4">
        <w:rPr>
          <w:rFonts w:ascii="Times New Roman" w:eastAsia="Batang" w:hAnsi="Times New Roman" w:cs="Times New Roman"/>
          <w:sz w:val="24"/>
          <w:szCs w:val="24"/>
        </w:rPr>
        <w:t xml:space="preserve">На контейнер прикрепляют этикетку </w:t>
      </w:r>
      <w:proofErr w:type="spellStart"/>
      <w:r w:rsidRPr="00704FB4">
        <w:rPr>
          <w:rFonts w:ascii="Times New Roman" w:eastAsia="Batang" w:hAnsi="Times New Roman" w:cs="Times New Roman"/>
          <w:sz w:val="24"/>
          <w:szCs w:val="24"/>
        </w:rPr>
        <w:t>самоклеющуюся</w:t>
      </w:r>
      <w:proofErr w:type="spellEnd"/>
      <w:r w:rsidRPr="00704FB4">
        <w:rPr>
          <w:rFonts w:ascii="Times New Roman" w:eastAsia="Batang" w:hAnsi="Times New Roman" w:cs="Times New Roman"/>
          <w:sz w:val="24"/>
          <w:szCs w:val="24"/>
        </w:rPr>
        <w:t xml:space="preserve"> и инструкцию по медицинскому применению на казахском и русском языках.</w:t>
      </w:r>
    </w:p>
    <w:p w14:paraId="2F8C4E14" w14:textId="77777777" w:rsidR="00896FC0" w:rsidRPr="00704FB4" w:rsidRDefault="00896FC0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9C28D0" w14:textId="77777777" w:rsidR="00A72229" w:rsidRPr="00704FB4" w:rsidRDefault="00A72229" w:rsidP="00D07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FB4">
        <w:rPr>
          <w:rFonts w:ascii="Times New Roman" w:hAnsi="Times New Roman" w:cs="Times New Roman"/>
          <w:b/>
          <w:bCs/>
          <w:sz w:val="24"/>
          <w:szCs w:val="24"/>
        </w:rPr>
        <w:t>6.6</w:t>
      </w:r>
      <w:r w:rsidR="007B4071" w:rsidRPr="00704FB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04FB4">
        <w:rPr>
          <w:rFonts w:ascii="Times New Roman" w:hAnsi="Times New Roman" w:cs="Times New Roman"/>
          <w:b/>
          <w:bCs/>
          <w:sz w:val="24"/>
          <w:szCs w:val="24"/>
        </w:rPr>
        <w:t>Особые меры предосторожности при уничтожении использованного лекарственного препарата или отходов, полученных после применения лекарствен</w:t>
      </w:r>
      <w:r w:rsidR="007B4071" w:rsidRPr="00704FB4">
        <w:rPr>
          <w:rFonts w:ascii="Times New Roman" w:hAnsi="Times New Roman" w:cs="Times New Roman"/>
          <w:b/>
          <w:bCs/>
          <w:sz w:val="24"/>
          <w:szCs w:val="24"/>
        </w:rPr>
        <w:t>ного препарата или работы с ним</w:t>
      </w:r>
    </w:p>
    <w:p w14:paraId="65D67B58" w14:textId="77777777" w:rsidR="00A72229" w:rsidRPr="00704FB4" w:rsidRDefault="00A72229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FB4">
        <w:rPr>
          <w:rFonts w:ascii="Times New Roman" w:hAnsi="Times New Roman" w:cs="Times New Roman"/>
          <w:bCs/>
          <w:sz w:val="24"/>
          <w:szCs w:val="24"/>
        </w:rPr>
        <w:t>Весь оставшийся лекарственный препарат и отходы следует уничтожить в установленном порядке.</w:t>
      </w:r>
    </w:p>
    <w:p w14:paraId="7046B941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DEE18" w14:textId="77777777" w:rsidR="007B4071" w:rsidRPr="00704FB4" w:rsidRDefault="007B4071" w:rsidP="00D07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704FB4">
        <w:rPr>
          <w:rFonts w:ascii="Times New Roman" w:hAnsi="Times New Roman" w:cs="Times New Roman"/>
          <w:b/>
          <w:bCs/>
          <w:sz w:val="24"/>
          <w:szCs w:val="28"/>
        </w:rPr>
        <w:t>6.7</w:t>
      </w:r>
      <w:r w:rsidR="00D77AE9" w:rsidRPr="00704FB4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Pr="00704FB4">
        <w:rPr>
          <w:rFonts w:ascii="Times New Roman" w:hAnsi="Times New Roman" w:cs="Times New Roman"/>
          <w:b/>
          <w:bCs/>
          <w:sz w:val="24"/>
          <w:szCs w:val="28"/>
        </w:rPr>
        <w:t xml:space="preserve"> Условия отпуска из аптек </w:t>
      </w:r>
    </w:p>
    <w:p w14:paraId="36E3F5BF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04FB4">
        <w:rPr>
          <w:rFonts w:ascii="Times New Roman" w:hAnsi="Times New Roman" w:cs="Times New Roman"/>
          <w:bCs/>
          <w:sz w:val="24"/>
          <w:szCs w:val="28"/>
        </w:rPr>
        <w:t>По рецепту</w:t>
      </w:r>
    </w:p>
    <w:p w14:paraId="625770DC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14:paraId="4F9184E8" w14:textId="77777777" w:rsidR="00A72229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FB4">
        <w:rPr>
          <w:rFonts w:ascii="Times New Roman" w:hAnsi="Times New Roman" w:cs="Times New Roman"/>
          <w:b/>
          <w:bCs/>
          <w:sz w:val="24"/>
          <w:szCs w:val="24"/>
        </w:rPr>
        <w:t>7. ДЕРЖАТЕЛЬ РЕГИСТРАЦИОННОГО УДОСТОВЕРЕНИЯ</w:t>
      </w:r>
    </w:p>
    <w:p w14:paraId="1CA4A215" w14:textId="77777777" w:rsidR="00A72229" w:rsidRPr="00704FB4" w:rsidRDefault="00CB22B5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FB4">
        <w:rPr>
          <w:rFonts w:ascii="Times New Roman" w:hAnsi="Times New Roman" w:cs="Times New Roman"/>
          <w:bCs/>
          <w:sz w:val="24"/>
          <w:szCs w:val="24"/>
        </w:rPr>
        <w:t>Индия</w:t>
      </w:r>
    </w:p>
    <w:p w14:paraId="72EAC562" w14:textId="77777777" w:rsidR="00BD61E0" w:rsidRPr="00704FB4" w:rsidRDefault="00BD61E0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FB4">
        <w:rPr>
          <w:rFonts w:ascii="Times New Roman" w:hAnsi="Times New Roman" w:cs="Times New Roman"/>
          <w:bCs/>
          <w:sz w:val="24"/>
          <w:szCs w:val="24"/>
          <w:lang w:val="en-US"/>
        </w:rPr>
        <w:t>Laurus</w:t>
      </w:r>
      <w:r w:rsidRPr="00704F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4FB4">
        <w:rPr>
          <w:rFonts w:ascii="Times New Roman" w:hAnsi="Times New Roman" w:cs="Times New Roman"/>
          <w:bCs/>
          <w:sz w:val="24"/>
          <w:szCs w:val="24"/>
          <w:lang w:val="en-US"/>
        </w:rPr>
        <w:t>Labs</w:t>
      </w:r>
      <w:r w:rsidRPr="00704F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4FB4">
        <w:rPr>
          <w:rFonts w:ascii="Times New Roman" w:hAnsi="Times New Roman" w:cs="Times New Roman"/>
          <w:bCs/>
          <w:sz w:val="24"/>
          <w:szCs w:val="24"/>
          <w:lang w:val="en-US"/>
        </w:rPr>
        <w:t>Limited</w:t>
      </w:r>
      <w:r w:rsidRPr="00704FB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04FB4">
        <w:rPr>
          <w:rFonts w:ascii="Times New Roman" w:hAnsi="Times New Roman" w:cs="Times New Roman"/>
          <w:bCs/>
          <w:sz w:val="24"/>
          <w:szCs w:val="24"/>
          <w:lang w:val="en-US"/>
        </w:rPr>
        <w:t>Unit</w:t>
      </w:r>
      <w:r w:rsidRPr="00704FB4">
        <w:rPr>
          <w:rFonts w:ascii="Times New Roman" w:hAnsi="Times New Roman" w:cs="Times New Roman"/>
          <w:bCs/>
          <w:sz w:val="24"/>
          <w:szCs w:val="24"/>
        </w:rPr>
        <w:t>-</w:t>
      </w:r>
      <w:r w:rsidRPr="00704FB4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704FB4"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14:paraId="33A344ED" w14:textId="77777777" w:rsidR="00BD61E0" w:rsidRPr="00704FB4" w:rsidRDefault="00BD61E0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04F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Plot No.: 19, 20 &amp; 21, Western Sector, APSEZ, </w:t>
      </w:r>
      <w:proofErr w:type="spellStart"/>
      <w:r w:rsidRPr="00704FB4">
        <w:rPr>
          <w:rFonts w:ascii="Times New Roman" w:hAnsi="Times New Roman" w:cs="Times New Roman"/>
          <w:bCs/>
          <w:sz w:val="24"/>
          <w:szCs w:val="24"/>
          <w:lang w:val="en-US"/>
        </w:rPr>
        <w:t>Atchutapuram</w:t>
      </w:r>
      <w:proofErr w:type="spellEnd"/>
      <w:r w:rsidRPr="00704F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Mandal, Visakhapatnam District – 531011, Andhra Pradesh, </w:t>
      </w:r>
      <w:r w:rsidRPr="00704FB4">
        <w:rPr>
          <w:rFonts w:ascii="Times New Roman" w:hAnsi="Times New Roman" w:cs="Times New Roman"/>
          <w:bCs/>
          <w:sz w:val="24"/>
          <w:szCs w:val="24"/>
        </w:rPr>
        <w:t>Индия</w:t>
      </w:r>
      <w:r w:rsidRPr="00704FB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998098C" w14:textId="77777777" w:rsidR="00A72229" w:rsidRPr="00704FB4" w:rsidRDefault="00CB22B5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FB4">
        <w:rPr>
          <w:rFonts w:ascii="Times New Roman" w:hAnsi="Times New Roman" w:cs="Times New Roman"/>
          <w:bCs/>
          <w:iCs/>
          <w:sz w:val="24"/>
          <w:szCs w:val="24"/>
        </w:rPr>
        <w:t xml:space="preserve">тел. </w:t>
      </w:r>
      <w:r w:rsidR="00BD61E0" w:rsidRPr="00704FB4">
        <w:rPr>
          <w:rFonts w:ascii="Times New Roman" w:hAnsi="Times New Roman" w:cs="Times New Roman"/>
          <w:bCs/>
          <w:iCs/>
          <w:sz w:val="24"/>
          <w:szCs w:val="24"/>
        </w:rPr>
        <w:t>+914039804333/23420500/501</w:t>
      </w:r>
    </w:p>
    <w:p w14:paraId="78B30457" w14:textId="6B76ECF1" w:rsidR="007B4071" w:rsidRPr="00704FB4" w:rsidRDefault="00BD61E0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FB4">
        <w:rPr>
          <w:rFonts w:ascii="Times New Roman" w:hAnsi="Times New Roman" w:cs="Times New Roman"/>
          <w:bCs/>
          <w:sz w:val="24"/>
          <w:szCs w:val="24"/>
        </w:rPr>
        <w:t>info@lauruslabs.com</w:t>
      </w:r>
    </w:p>
    <w:p w14:paraId="06BA7E90" w14:textId="77777777" w:rsidR="003C0FB2" w:rsidRPr="00704FB4" w:rsidRDefault="003C0FB2" w:rsidP="00D073D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B95FEA7" w14:textId="77777777" w:rsidR="00A72229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4825601"/>
      <w:r w:rsidRPr="00704F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7.1. </w:t>
      </w:r>
      <w:r w:rsidR="00A72229" w:rsidRPr="00704FB4">
        <w:rPr>
          <w:rFonts w:ascii="Times New Roman" w:hAnsi="Times New Roman" w:cs="Times New Roman"/>
          <w:b/>
          <w:bCs/>
          <w:iCs/>
          <w:sz w:val="24"/>
          <w:szCs w:val="24"/>
        </w:rPr>
        <w:t>ПРЕДСТАВИТЕЛЬ ДЕРЖАТЕЛЯ РЕГИСТРАЦИОННОГО УДОСТОВЕРЕНИЯ.</w:t>
      </w:r>
    </w:p>
    <w:p w14:paraId="04572A2F" w14:textId="77777777" w:rsidR="00070721" w:rsidRPr="00704FB4" w:rsidRDefault="00070721" w:rsidP="00D073D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FB4">
        <w:rPr>
          <w:rFonts w:ascii="Times New Roman" w:hAnsi="Times New Roman" w:cs="Times New Roman"/>
          <w:bCs/>
          <w:iCs/>
          <w:sz w:val="24"/>
          <w:szCs w:val="24"/>
        </w:rPr>
        <w:t>Претензии потребителей направлять по адресу:</w:t>
      </w:r>
    </w:p>
    <w:p w14:paraId="1EF9F490" w14:textId="77777777" w:rsidR="00864D92" w:rsidRPr="00704FB4" w:rsidRDefault="00864D92" w:rsidP="00D073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4FB4">
        <w:rPr>
          <w:rFonts w:ascii="Times New Roman" w:hAnsi="Times New Roman" w:cs="Times New Roman"/>
          <w:bCs/>
          <w:iCs/>
          <w:sz w:val="24"/>
          <w:szCs w:val="24"/>
        </w:rPr>
        <w:t>Казахстан</w:t>
      </w:r>
    </w:p>
    <w:p w14:paraId="76280795" w14:textId="77777777" w:rsidR="00864D92" w:rsidRPr="00704FB4" w:rsidRDefault="006E00DA" w:rsidP="00D073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de-DE"/>
        </w:rPr>
      </w:pPr>
      <w:proofErr w:type="spellStart"/>
      <w:r w:rsidRPr="00704FB4">
        <w:rPr>
          <w:rFonts w:ascii="Times New Roman" w:hAnsi="Times New Roman" w:cs="Times New Roman"/>
          <w:bCs/>
          <w:iCs/>
          <w:sz w:val="24"/>
          <w:szCs w:val="24"/>
        </w:rPr>
        <w:t>Канумуру</w:t>
      </w:r>
      <w:proofErr w:type="spellEnd"/>
      <w:r w:rsidRPr="00704FB4">
        <w:rPr>
          <w:rFonts w:ascii="Times New Roman" w:hAnsi="Times New Roman" w:cs="Times New Roman"/>
          <w:bCs/>
          <w:iCs/>
          <w:sz w:val="24"/>
          <w:szCs w:val="24"/>
        </w:rPr>
        <w:t xml:space="preserve"> И. Г.</w:t>
      </w:r>
      <w:r w:rsidRPr="00704FB4">
        <w:rPr>
          <w:rFonts w:ascii="Times New Roman" w:hAnsi="Times New Roman" w:cs="Times New Roman"/>
          <w:bCs/>
          <w:iCs/>
          <w:sz w:val="24"/>
          <w:szCs w:val="24"/>
          <w:lang w:val="de-DE"/>
        </w:rPr>
        <w:t xml:space="preserve">, </w:t>
      </w:r>
    </w:p>
    <w:p w14:paraId="78B7E612" w14:textId="6CF6017C" w:rsidR="00864D92" w:rsidRPr="00704FB4" w:rsidRDefault="006E00DA" w:rsidP="00D073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4FB4">
        <w:rPr>
          <w:rFonts w:ascii="Times New Roman" w:hAnsi="Times New Roman" w:cs="Times New Roman"/>
          <w:bCs/>
          <w:iCs/>
          <w:sz w:val="24"/>
          <w:szCs w:val="24"/>
          <w:lang w:val="de-DE"/>
        </w:rPr>
        <w:t xml:space="preserve">050043, </w:t>
      </w:r>
      <w:r w:rsidRPr="00704FB4">
        <w:rPr>
          <w:rFonts w:ascii="Times New Roman" w:hAnsi="Times New Roman" w:cs="Times New Roman"/>
          <w:bCs/>
          <w:iCs/>
          <w:sz w:val="24"/>
          <w:szCs w:val="24"/>
        </w:rPr>
        <w:t>г</w:t>
      </w:r>
      <w:r w:rsidRPr="00704FB4">
        <w:rPr>
          <w:rFonts w:ascii="Times New Roman" w:hAnsi="Times New Roman" w:cs="Times New Roman"/>
          <w:bCs/>
          <w:iCs/>
          <w:sz w:val="24"/>
          <w:szCs w:val="24"/>
          <w:lang w:val="de-DE"/>
        </w:rPr>
        <w:t xml:space="preserve">. </w:t>
      </w:r>
      <w:r w:rsidRPr="00704FB4">
        <w:rPr>
          <w:rFonts w:ascii="Times New Roman" w:hAnsi="Times New Roman" w:cs="Times New Roman"/>
          <w:bCs/>
          <w:iCs/>
          <w:sz w:val="24"/>
          <w:szCs w:val="24"/>
        </w:rPr>
        <w:t>Алматы</w:t>
      </w:r>
      <w:r w:rsidRPr="00704FB4">
        <w:rPr>
          <w:rFonts w:ascii="Times New Roman" w:hAnsi="Times New Roman" w:cs="Times New Roman"/>
          <w:bCs/>
          <w:iCs/>
          <w:sz w:val="24"/>
          <w:szCs w:val="24"/>
          <w:lang w:val="de-DE"/>
        </w:rPr>
        <w:t xml:space="preserve">, </w:t>
      </w:r>
      <w:r w:rsidRPr="00704FB4">
        <w:rPr>
          <w:rFonts w:ascii="Times New Roman" w:hAnsi="Times New Roman" w:cs="Times New Roman"/>
          <w:bCs/>
          <w:iCs/>
          <w:sz w:val="24"/>
          <w:szCs w:val="24"/>
        </w:rPr>
        <w:t>мкн</w:t>
      </w:r>
      <w:r w:rsidRPr="00704FB4">
        <w:rPr>
          <w:rFonts w:ascii="Times New Roman" w:hAnsi="Times New Roman" w:cs="Times New Roman"/>
          <w:bCs/>
          <w:iCs/>
          <w:sz w:val="24"/>
          <w:szCs w:val="24"/>
          <w:lang w:val="de-DE"/>
        </w:rPr>
        <w:t xml:space="preserve">. </w:t>
      </w:r>
      <w:proofErr w:type="spellStart"/>
      <w:r w:rsidR="00864D92" w:rsidRPr="00704FB4">
        <w:rPr>
          <w:rFonts w:ascii="Times New Roman" w:hAnsi="Times New Roman" w:cs="Times New Roman"/>
          <w:bCs/>
          <w:iCs/>
          <w:sz w:val="24"/>
          <w:szCs w:val="24"/>
        </w:rPr>
        <w:t>Мирас</w:t>
      </w:r>
      <w:proofErr w:type="spellEnd"/>
      <w:r w:rsidR="00864D92" w:rsidRPr="00704FB4">
        <w:rPr>
          <w:rFonts w:ascii="Times New Roman" w:hAnsi="Times New Roman" w:cs="Times New Roman"/>
          <w:bCs/>
          <w:iCs/>
          <w:sz w:val="24"/>
          <w:szCs w:val="24"/>
        </w:rPr>
        <w:t xml:space="preserve"> 157</w:t>
      </w:r>
      <w:r w:rsidR="00121DCA" w:rsidRPr="00704FB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21DCA" w:rsidRPr="00704FB4">
        <w:rPr>
          <w:rFonts w:ascii="Times New Roman" w:hAnsi="Times New Roman" w:cs="Times New Roman"/>
          <w:bCs/>
          <w:iCs/>
          <w:sz w:val="24"/>
          <w:szCs w:val="24"/>
        </w:rPr>
        <w:t>н.п</w:t>
      </w:r>
      <w:proofErr w:type="spellEnd"/>
      <w:r w:rsidR="00121DCA" w:rsidRPr="00704FB4">
        <w:rPr>
          <w:rFonts w:ascii="Times New Roman" w:hAnsi="Times New Roman" w:cs="Times New Roman"/>
          <w:bCs/>
          <w:iCs/>
          <w:sz w:val="24"/>
          <w:szCs w:val="24"/>
        </w:rPr>
        <w:t>. 819</w:t>
      </w:r>
    </w:p>
    <w:p w14:paraId="420245FD" w14:textId="309E700D" w:rsidR="00864D92" w:rsidRPr="00704FB4" w:rsidRDefault="006E00DA" w:rsidP="00D073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4FB4">
        <w:rPr>
          <w:rFonts w:ascii="Times New Roman" w:hAnsi="Times New Roman" w:cs="Times New Roman"/>
          <w:bCs/>
          <w:iCs/>
          <w:sz w:val="24"/>
          <w:szCs w:val="24"/>
        </w:rPr>
        <w:t xml:space="preserve">Тел. </w:t>
      </w:r>
      <w:r w:rsidR="0084696B" w:rsidRPr="00704FB4">
        <w:rPr>
          <w:rFonts w:ascii="Times New Roman" w:hAnsi="Times New Roman" w:cs="Times New Roman"/>
          <w:bCs/>
          <w:iCs/>
          <w:sz w:val="24"/>
          <w:szCs w:val="24"/>
        </w:rPr>
        <w:t xml:space="preserve">+7 </w:t>
      </w:r>
      <w:r w:rsidRPr="00704FB4">
        <w:rPr>
          <w:rFonts w:ascii="Times New Roman" w:hAnsi="Times New Roman" w:cs="Times New Roman"/>
          <w:bCs/>
          <w:iCs/>
          <w:sz w:val="24"/>
          <w:szCs w:val="24"/>
        </w:rPr>
        <w:t xml:space="preserve">(727) 311-81-96/97, </w:t>
      </w:r>
    </w:p>
    <w:p w14:paraId="6C43C1B7" w14:textId="77777777" w:rsidR="006E00DA" w:rsidRPr="005E2874" w:rsidRDefault="006E00DA" w:rsidP="00D073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4FB4">
        <w:rPr>
          <w:rFonts w:ascii="Times New Roman" w:hAnsi="Times New Roman" w:cs="Times New Roman"/>
          <w:bCs/>
          <w:iCs/>
          <w:sz w:val="24"/>
          <w:szCs w:val="24"/>
          <w:lang w:val="en-US"/>
        </w:rPr>
        <w:t>e</w:t>
      </w:r>
      <w:r w:rsidRPr="005E287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04FB4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mail</w:t>
      </w:r>
      <w:r w:rsidRPr="005E287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hyperlink r:id="rId8" w:history="1">
        <w:r w:rsidR="00864D92" w:rsidRPr="00704FB4">
          <w:rPr>
            <w:rStyle w:val="a3"/>
            <w:rFonts w:ascii="Times New Roman" w:hAnsi="Times New Roman" w:cs="Times New Roman"/>
            <w:bCs/>
            <w:iCs/>
            <w:sz w:val="24"/>
            <w:szCs w:val="24"/>
            <w:lang w:val="en-US"/>
          </w:rPr>
          <w:t>irina</w:t>
        </w:r>
        <w:r w:rsidR="00864D92" w:rsidRPr="005E2874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.</w:t>
        </w:r>
        <w:r w:rsidR="00864D92" w:rsidRPr="00704FB4">
          <w:rPr>
            <w:rStyle w:val="a3"/>
            <w:rFonts w:ascii="Times New Roman" w:hAnsi="Times New Roman" w:cs="Times New Roman"/>
            <w:bCs/>
            <w:iCs/>
            <w:sz w:val="24"/>
            <w:szCs w:val="24"/>
            <w:lang w:val="en-US"/>
          </w:rPr>
          <w:t>volovnikova</w:t>
        </w:r>
        <w:r w:rsidR="00864D92" w:rsidRPr="005E2874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@</w:t>
        </w:r>
        <w:proofErr w:type="spellStart"/>
        <w:r w:rsidR="00864D92" w:rsidRPr="00704FB4">
          <w:rPr>
            <w:rStyle w:val="a3"/>
            <w:rFonts w:ascii="Times New Roman" w:hAnsi="Times New Roman" w:cs="Times New Roman"/>
            <w:bCs/>
            <w:iCs/>
            <w:sz w:val="24"/>
            <w:szCs w:val="24"/>
            <w:lang w:val="en-US"/>
          </w:rPr>
          <w:t>gmail</w:t>
        </w:r>
        <w:proofErr w:type="spellEnd"/>
        <w:r w:rsidR="00864D92" w:rsidRPr="005E2874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.</w:t>
        </w:r>
        <w:r w:rsidR="00864D92" w:rsidRPr="00704FB4">
          <w:rPr>
            <w:rStyle w:val="a3"/>
            <w:rFonts w:ascii="Times New Roman" w:hAnsi="Times New Roman" w:cs="Times New Roman"/>
            <w:bCs/>
            <w:iCs/>
            <w:sz w:val="24"/>
            <w:szCs w:val="24"/>
            <w:lang w:val="en-US"/>
          </w:rPr>
          <w:t>com</w:t>
        </w:r>
      </w:hyperlink>
      <w:r w:rsidR="00864D92" w:rsidRPr="005E28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bookmarkEnd w:id="1"/>
    <w:p w14:paraId="7E6B7C44" w14:textId="77777777" w:rsidR="007B4071" w:rsidRPr="005E287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8B4764" w14:textId="77777777" w:rsidR="007B4071" w:rsidRPr="00704FB4" w:rsidRDefault="00A75F5E" w:rsidP="00D07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FB4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7B4071" w:rsidRPr="00704FB4">
        <w:rPr>
          <w:rFonts w:ascii="Times New Roman" w:hAnsi="Times New Roman" w:cs="Times New Roman"/>
          <w:b/>
          <w:bCs/>
          <w:sz w:val="24"/>
          <w:szCs w:val="24"/>
        </w:rPr>
        <w:t>НОМЕР РЕГИСТРАЦИОННОГО УДОСТОВЕРЕНИЯ</w:t>
      </w:r>
    </w:p>
    <w:p w14:paraId="063ECFED" w14:textId="3DE926E4" w:rsidR="007B4071" w:rsidRPr="00704FB4" w:rsidRDefault="007F21ED" w:rsidP="00D07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B4">
        <w:rPr>
          <w:rFonts w:ascii="Times New Roman" w:hAnsi="Times New Roman" w:cs="Times New Roman"/>
          <w:sz w:val="24"/>
          <w:szCs w:val="24"/>
        </w:rPr>
        <w:t>РК-ЛС-5№024611</w:t>
      </w:r>
    </w:p>
    <w:p w14:paraId="3485CBED" w14:textId="77777777" w:rsidR="007F21ED" w:rsidRPr="00704FB4" w:rsidRDefault="007F21ED" w:rsidP="00D07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B6FAB" w14:textId="77777777" w:rsidR="00A72229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FB4">
        <w:rPr>
          <w:rFonts w:ascii="Times New Roman" w:hAnsi="Times New Roman" w:cs="Times New Roman"/>
          <w:b/>
          <w:bCs/>
          <w:sz w:val="24"/>
          <w:szCs w:val="24"/>
        </w:rPr>
        <w:t>9. ДАТА ПЕРВИЧНОЙ РЕГИСТРАЦИИ (ПОДТВЕРЖДЕНИЯ РЕГИСТРАЦИИ, ПЕРЕРЕГИСТРАЦИИ)</w:t>
      </w:r>
    </w:p>
    <w:p w14:paraId="5BB7D247" w14:textId="2C18DB27" w:rsidR="007B4071" w:rsidRPr="00704FB4" w:rsidRDefault="007B4071" w:rsidP="00D073DF">
      <w:pPr>
        <w:pStyle w:val="Style5"/>
        <w:widowControl/>
        <w:tabs>
          <w:tab w:val="left" w:pos="7371"/>
        </w:tabs>
        <w:spacing w:line="240" w:lineRule="auto"/>
        <w:jc w:val="both"/>
        <w:rPr>
          <w:rFonts w:eastAsia="Microsoft Sans Serif"/>
          <w:szCs w:val="28"/>
          <w:lang w:bidi="ru-RU"/>
        </w:rPr>
      </w:pPr>
      <w:r w:rsidRPr="00704FB4">
        <w:rPr>
          <w:rFonts w:eastAsia="Microsoft Sans Serif"/>
          <w:szCs w:val="28"/>
          <w:lang w:bidi="ru-RU"/>
        </w:rPr>
        <w:t xml:space="preserve">Дата первой регистрации: </w:t>
      </w:r>
      <w:r w:rsidR="007928B5" w:rsidRPr="00704FB4">
        <w:rPr>
          <w:rFonts w:eastAsia="Microsoft Sans Serif"/>
          <w:szCs w:val="28"/>
          <w:lang w:bidi="ru-RU"/>
        </w:rPr>
        <w:t>03.07.2020</w:t>
      </w:r>
    </w:p>
    <w:p w14:paraId="19D0AACE" w14:textId="77777777" w:rsidR="007B4071" w:rsidRPr="00704FB4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3558BB" w14:textId="6C1A4E97" w:rsidR="00A72229" w:rsidRPr="00704FB4" w:rsidRDefault="00A75F5E" w:rsidP="00D07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FB4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7B4071" w:rsidRPr="00704FB4">
        <w:rPr>
          <w:rFonts w:ascii="Times New Roman" w:hAnsi="Times New Roman" w:cs="Times New Roman"/>
          <w:b/>
          <w:bCs/>
          <w:sz w:val="24"/>
          <w:szCs w:val="24"/>
        </w:rPr>
        <w:t>ДАТА ПЕРЕСМОТРА ТЕКСТА</w:t>
      </w:r>
    </w:p>
    <w:p w14:paraId="4845DF88" w14:textId="77777777" w:rsidR="005B089B" w:rsidRPr="00704FB4" w:rsidRDefault="005B089B" w:rsidP="00D07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9EB1B" w14:textId="2ADD818D" w:rsidR="00A72229" w:rsidRPr="00A75F5E" w:rsidRDefault="007B4071" w:rsidP="00D073DF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704FB4">
        <w:rPr>
          <w:rFonts w:ascii="Times New Roman" w:eastAsia="TimesNewRomanPSMT" w:hAnsi="Times New Roman" w:cs="Times New Roman"/>
          <w:sz w:val="24"/>
          <w:szCs w:val="28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9" w:history="1">
        <w:r w:rsidRPr="00704FB4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Pr="00704FB4">
          <w:rPr>
            <w:rStyle w:val="a3"/>
            <w:rFonts w:ascii="Times New Roman" w:hAnsi="Times New Roman" w:cs="Times New Roman"/>
            <w:sz w:val="24"/>
            <w:szCs w:val="28"/>
          </w:rPr>
          <w:t>://</w:t>
        </w:r>
        <w:r w:rsidRPr="00704FB4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www</w:t>
        </w:r>
        <w:r w:rsidRPr="00704FB4">
          <w:rPr>
            <w:rStyle w:val="a3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704FB4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ndda</w:t>
        </w:r>
        <w:proofErr w:type="spellEnd"/>
        <w:r w:rsidRPr="00704FB4">
          <w:rPr>
            <w:rStyle w:val="a3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704FB4"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kz</w:t>
        </w:r>
        <w:proofErr w:type="spellEnd"/>
      </w:hyperlink>
    </w:p>
    <w:sectPr w:rsidR="00A72229" w:rsidRPr="00A75F5E" w:rsidSect="000713D4">
      <w:headerReference w:type="default" r:id="rId10"/>
      <w:pgSz w:w="11906" w:h="16838"/>
      <w:pgMar w:top="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0CA9" w14:textId="77777777" w:rsidR="00D3157C" w:rsidRDefault="00D3157C" w:rsidP="0040137E">
      <w:pPr>
        <w:spacing w:after="0" w:line="240" w:lineRule="auto"/>
      </w:pPr>
      <w:r>
        <w:separator/>
      </w:r>
    </w:p>
  </w:endnote>
  <w:endnote w:type="continuationSeparator" w:id="0">
    <w:p w14:paraId="12A887F2" w14:textId="77777777" w:rsidR="00D3157C" w:rsidRDefault="00D3157C" w:rsidP="0040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50CE" w14:textId="77777777" w:rsidR="00D3157C" w:rsidRDefault="00D3157C" w:rsidP="0040137E">
      <w:pPr>
        <w:spacing w:after="0" w:line="240" w:lineRule="auto"/>
      </w:pPr>
      <w:r>
        <w:separator/>
      </w:r>
    </w:p>
  </w:footnote>
  <w:footnote w:type="continuationSeparator" w:id="0">
    <w:p w14:paraId="68906AC5" w14:textId="77777777" w:rsidR="00D3157C" w:rsidRDefault="00D3157C" w:rsidP="0040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C76A" w14:textId="77777777" w:rsidR="00671AE9" w:rsidRDefault="00671AE9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3B7F4" wp14:editId="5694F79C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2A012" w14:textId="77777777" w:rsidR="00671AE9" w:rsidRPr="0040137E" w:rsidRDefault="00671AE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3B7F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48.75pt;width:30pt;height:29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" filled="f" stroked="f" strokeweight=".5pt">
              <v:textbox style="layout-flow:vertical;mso-layout-flow-alt:bottom-to-top">
                <w:txbxContent>
                  <w:p w14:paraId="60E2A012" w14:textId="77777777" w:rsidR="00671AE9" w:rsidRPr="0040137E" w:rsidRDefault="00671AE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EC120F" wp14:editId="1A7DA2FE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FFB3D" w14:textId="77777777" w:rsidR="00671AE9" w:rsidRPr="0040137E" w:rsidRDefault="00671AE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C120F" id="Поле 1" o:spid="_x0000_s1027" type="#_x0000_t202" style="position:absolute;margin-left:480.25pt;margin-top:48.75pt;width:30pt;height:631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" filled="f" stroked="f" strokeweight=".5pt">
              <v:textbox style="layout-flow:vertical;mso-layout-flow-alt:bottom-to-top">
                <w:txbxContent>
                  <w:p w14:paraId="02FFFB3D" w14:textId="77777777" w:rsidR="00671AE9" w:rsidRPr="0040137E" w:rsidRDefault="00671AE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alt="Описание: Description: BT_1000x858px" style="width:16.2pt;height:13.8pt;visibility:visible" o:bullet="t">
        <v:imagedata r:id="rId1" o:title=" BT_1000x858px"/>
      </v:shape>
    </w:pict>
  </w:numPicBullet>
  <w:abstractNum w:abstractNumId="0" w15:restartNumberingAfterBreak="0">
    <w:nsid w:val="FFFFFF7C"/>
    <w:multiLevelType w:val="singleLevel"/>
    <w:tmpl w:val="DF7669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C87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EF2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C867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C6B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E097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4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5ADE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C23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84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F1757"/>
    <w:multiLevelType w:val="hybridMultilevel"/>
    <w:tmpl w:val="2464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90F29D6"/>
    <w:multiLevelType w:val="hybridMultilevel"/>
    <w:tmpl w:val="478AD166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27F4F"/>
    <w:multiLevelType w:val="hybridMultilevel"/>
    <w:tmpl w:val="BF24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B6297"/>
    <w:multiLevelType w:val="hybridMultilevel"/>
    <w:tmpl w:val="9B72FB0E"/>
    <w:lvl w:ilvl="0" w:tplc="DBD05BC8">
      <w:start w:val="8"/>
      <w:numFmt w:val="bullet"/>
      <w:lvlText w:val="-"/>
      <w:lvlJc w:val="left"/>
      <w:pPr>
        <w:ind w:left="26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5" w15:restartNumberingAfterBreak="0">
    <w:nsid w:val="51AE4BE4"/>
    <w:multiLevelType w:val="hybridMultilevel"/>
    <w:tmpl w:val="429CE0CC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66660"/>
    <w:multiLevelType w:val="hybridMultilevel"/>
    <w:tmpl w:val="CBBEF030"/>
    <w:lvl w:ilvl="0" w:tplc="1124CF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012E2"/>
    <w:multiLevelType w:val="hybridMultilevel"/>
    <w:tmpl w:val="E87ED11E"/>
    <w:lvl w:ilvl="0" w:tplc="82047B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1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21C"/>
    <w:rsid w:val="000001C2"/>
    <w:rsid w:val="0000040E"/>
    <w:rsid w:val="00000631"/>
    <w:rsid w:val="0000097C"/>
    <w:rsid w:val="000015AC"/>
    <w:rsid w:val="00001FD3"/>
    <w:rsid w:val="00002239"/>
    <w:rsid w:val="0000224E"/>
    <w:rsid w:val="00002BCC"/>
    <w:rsid w:val="000039CD"/>
    <w:rsid w:val="00004156"/>
    <w:rsid w:val="00004822"/>
    <w:rsid w:val="00004EF9"/>
    <w:rsid w:val="00005CEF"/>
    <w:rsid w:val="00007586"/>
    <w:rsid w:val="00007B0A"/>
    <w:rsid w:val="00007B4F"/>
    <w:rsid w:val="00007E67"/>
    <w:rsid w:val="000100B4"/>
    <w:rsid w:val="00011142"/>
    <w:rsid w:val="000116F2"/>
    <w:rsid w:val="000119B5"/>
    <w:rsid w:val="00012E7D"/>
    <w:rsid w:val="0001403E"/>
    <w:rsid w:val="00014864"/>
    <w:rsid w:val="00014F82"/>
    <w:rsid w:val="00015829"/>
    <w:rsid w:val="00015A0F"/>
    <w:rsid w:val="00015EBB"/>
    <w:rsid w:val="0001653E"/>
    <w:rsid w:val="000165B8"/>
    <w:rsid w:val="000166E4"/>
    <w:rsid w:val="0001750C"/>
    <w:rsid w:val="00017FE0"/>
    <w:rsid w:val="000205FD"/>
    <w:rsid w:val="000213AF"/>
    <w:rsid w:val="00021505"/>
    <w:rsid w:val="000228F0"/>
    <w:rsid w:val="00022DBA"/>
    <w:rsid w:val="00023559"/>
    <w:rsid w:val="00023C02"/>
    <w:rsid w:val="000242BD"/>
    <w:rsid w:val="0002495D"/>
    <w:rsid w:val="0002526A"/>
    <w:rsid w:val="00025512"/>
    <w:rsid w:val="00025678"/>
    <w:rsid w:val="00025D31"/>
    <w:rsid w:val="00030D37"/>
    <w:rsid w:val="00032837"/>
    <w:rsid w:val="00032B74"/>
    <w:rsid w:val="000334B0"/>
    <w:rsid w:val="000334C0"/>
    <w:rsid w:val="00033C50"/>
    <w:rsid w:val="0003407C"/>
    <w:rsid w:val="00034599"/>
    <w:rsid w:val="00034913"/>
    <w:rsid w:val="0003542B"/>
    <w:rsid w:val="000354D6"/>
    <w:rsid w:val="000364D2"/>
    <w:rsid w:val="00036BC4"/>
    <w:rsid w:val="00037258"/>
    <w:rsid w:val="00037B63"/>
    <w:rsid w:val="000402D6"/>
    <w:rsid w:val="00041127"/>
    <w:rsid w:val="0004129E"/>
    <w:rsid w:val="00041490"/>
    <w:rsid w:val="00041DBE"/>
    <w:rsid w:val="00041E26"/>
    <w:rsid w:val="00042B88"/>
    <w:rsid w:val="000432A2"/>
    <w:rsid w:val="000432BA"/>
    <w:rsid w:val="00043E00"/>
    <w:rsid w:val="000445FB"/>
    <w:rsid w:val="00044C08"/>
    <w:rsid w:val="000456CC"/>
    <w:rsid w:val="00045999"/>
    <w:rsid w:val="00045D9D"/>
    <w:rsid w:val="00046444"/>
    <w:rsid w:val="000468BC"/>
    <w:rsid w:val="000469B8"/>
    <w:rsid w:val="00046D6B"/>
    <w:rsid w:val="00047B0D"/>
    <w:rsid w:val="00047B1B"/>
    <w:rsid w:val="00050F14"/>
    <w:rsid w:val="00051645"/>
    <w:rsid w:val="00052F96"/>
    <w:rsid w:val="00053385"/>
    <w:rsid w:val="00054420"/>
    <w:rsid w:val="000544D3"/>
    <w:rsid w:val="000549F5"/>
    <w:rsid w:val="00054A68"/>
    <w:rsid w:val="000555BB"/>
    <w:rsid w:val="00055682"/>
    <w:rsid w:val="00055935"/>
    <w:rsid w:val="00056509"/>
    <w:rsid w:val="0005651D"/>
    <w:rsid w:val="00056AE2"/>
    <w:rsid w:val="00057082"/>
    <w:rsid w:val="00060217"/>
    <w:rsid w:val="00061597"/>
    <w:rsid w:val="00061896"/>
    <w:rsid w:val="0006364C"/>
    <w:rsid w:val="000643BA"/>
    <w:rsid w:val="00065039"/>
    <w:rsid w:val="00066911"/>
    <w:rsid w:val="00066B82"/>
    <w:rsid w:val="00066E2D"/>
    <w:rsid w:val="0006724D"/>
    <w:rsid w:val="00067E47"/>
    <w:rsid w:val="00067FDD"/>
    <w:rsid w:val="00070721"/>
    <w:rsid w:val="00070810"/>
    <w:rsid w:val="00070A1E"/>
    <w:rsid w:val="00070D2C"/>
    <w:rsid w:val="000713D4"/>
    <w:rsid w:val="000715CD"/>
    <w:rsid w:val="0007184E"/>
    <w:rsid w:val="00071A75"/>
    <w:rsid w:val="000726A1"/>
    <w:rsid w:val="00073281"/>
    <w:rsid w:val="00073338"/>
    <w:rsid w:val="00073A5D"/>
    <w:rsid w:val="00073CD8"/>
    <w:rsid w:val="000745F7"/>
    <w:rsid w:val="00075A01"/>
    <w:rsid w:val="00075AA8"/>
    <w:rsid w:val="00075B90"/>
    <w:rsid w:val="000763CD"/>
    <w:rsid w:val="000769DF"/>
    <w:rsid w:val="00076F4E"/>
    <w:rsid w:val="0007752C"/>
    <w:rsid w:val="000775F3"/>
    <w:rsid w:val="00077E81"/>
    <w:rsid w:val="00080402"/>
    <w:rsid w:val="00080D44"/>
    <w:rsid w:val="0008109C"/>
    <w:rsid w:val="000816BD"/>
    <w:rsid w:val="000830E6"/>
    <w:rsid w:val="00083D6A"/>
    <w:rsid w:val="00084353"/>
    <w:rsid w:val="00084AD0"/>
    <w:rsid w:val="00085851"/>
    <w:rsid w:val="0008618C"/>
    <w:rsid w:val="00086733"/>
    <w:rsid w:val="00086EF1"/>
    <w:rsid w:val="00087232"/>
    <w:rsid w:val="0008757F"/>
    <w:rsid w:val="00087A67"/>
    <w:rsid w:val="00092515"/>
    <w:rsid w:val="00092725"/>
    <w:rsid w:val="00092824"/>
    <w:rsid w:val="00092BAF"/>
    <w:rsid w:val="00092F2A"/>
    <w:rsid w:val="00093582"/>
    <w:rsid w:val="0009392C"/>
    <w:rsid w:val="00093A07"/>
    <w:rsid w:val="00094087"/>
    <w:rsid w:val="000940DC"/>
    <w:rsid w:val="000943DA"/>
    <w:rsid w:val="00094A51"/>
    <w:rsid w:val="00095860"/>
    <w:rsid w:val="000959BE"/>
    <w:rsid w:val="000959FE"/>
    <w:rsid w:val="00095A70"/>
    <w:rsid w:val="00095F9D"/>
    <w:rsid w:val="00096078"/>
    <w:rsid w:val="00096D02"/>
    <w:rsid w:val="00096D77"/>
    <w:rsid w:val="00096FDD"/>
    <w:rsid w:val="000A1675"/>
    <w:rsid w:val="000A19F7"/>
    <w:rsid w:val="000A1B98"/>
    <w:rsid w:val="000A1D2A"/>
    <w:rsid w:val="000A1E4C"/>
    <w:rsid w:val="000A1FC8"/>
    <w:rsid w:val="000A238D"/>
    <w:rsid w:val="000A2476"/>
    <w:rsid w:val="000A27D8"/>
    <w:rsid w:val="000A2AF3"/>
    <w:rsid w:val="000A2F8D"/>
    <w:rsid w:val="000A34C6"/>
    <w:rsid w:val="000A3A45"/>
    <w:rsid w:val="000A4134"/>
    <w:rsid w:val="000A529B"/>
    <w:rsid w:val="000A543E"/>
    <w:rsid w:val="000A561F"/>
    <w:rsid w:val="000A5E68"/>
    <w:rsid w:val="000A61DA"/>
    <w:rsid w:val="000A6270"/>
    <w:rsid w:val="000A661F"/>
    <w:rsid w:val="000A69CB"/>
    <w:rsid w:val="000A6C0E"/>
    <w:rsid w:val="000B076A"/>
    <w:rsid w:val="000B0B19"/>
    <w:rsid w:val="000B0D2D"/>
    <w:rsid w:val="000B231E"/>
    <w:rsid w:val="000B2DF6"/>
    <w:rsid w:val="000B4106"/>
    <w:rsid w:val="000B4FF4"/>
    <w:rsid w:val="000B56E4"/>
    <w:rsid w:val="000B5B1F"/>
    <w:rsid w:val="000B5C28"/>
    <w:rsid w:val="000B5F77"/>
    <w:rsid w:val="000B6744"/>
    <w:rsid w:val="000B7340"/>
    <w:rsid w:val="000B7F9C"/>
    <w:rsid w:val="000C044B"/>
    <w:rsid w:val="000C17FC"/>
    <w:rsid w:val="000C182D"/>
    <w:rsid w:val="000C20A1"/>
    <w:rsid w:val="000C211E"/>
    <w:rsid w:val="000C28A6"/>
    <w:rsid w:val="000C3146"/>
    <w:rsid w:val="000C37AF"/>
    <w:rsid w:val="000C3BBA"/>
    <w:rsid w:val="000C5693"/>
    <w:rsid w:val="000C5756"/>
    <w:rsid w:val="000C609E"/>
    <w:rsid w:val="000C6E32"/>
    <w:rsid w:val="000C6FB8"/>
    <w:rsid w:val="000C717F"/>
    <w:rsid w:val="000C7D09"/>
    <w:rsid w:val="000D0236"/>
    <w:rsid w:val="000D0762"/>
    <w:rsid w:val="000D11AE"/>
    <w:rsid w:val="000D190B"/>
    <w:rsid w:val="000D2118"/>
    <w:rsid w:val="000D2222"/>
    <w:rsid w:val="000D228B"/>
    <w:rsid w:val="000D366E"/>
    <w:rsid w:val="000D386E"/>
    <w:rsid w:val="000D38CE"/>
    <w:rsid w:val="000D4139"/>
    <w:rsid w:val="000D41F9"/>
    <w:rsid w:val="000D5261"/>
    <w:rsid w:val="000D552B"/>
    <w:rsid w:val="000D5C2F"/>
    <w:rsid w:val="000D67B7"/>
    <w:rsid w:val="000D7BC1"/>
    <w:rsid w:val="000D7FBF"/>
    <w:rsid w:val="000E0718"/>
    <w:rsid w:val="000E093C"/>
    <w:rsid w:val="000E335E"/>
    <w:rsid w:val="000E3FB7"/>
    <w:rsid w:val="000E3FC8"/>
    <w:rsid w:val="000E4833"/>
    <w:rsid w:val="000E4EA0"/>
    <w:rsid w:val="000E507A"/>
    <w:rsid w:val="000E56F8"/>
    <w:rsid w:val="000E5873"/>
    <w:rsid w:val="000E5B1B"/>
    <w:rsid w:val="000E5E99"/>
    <w:rsid w:val="000E6C88"/>
    <w:rsid w:val="000E6CF3"/>
    <w:rsid w:val="000E796B"/>
    <w:rsid w:val="000F0F58"/>
    <w:rsid w:val="000F2A1A"/>
    <w:rsid w:val="000F4149"/>
    <w:rsid w:val="000F4176"/>
    <w:rsid w:val="000F46A1"/>
    <w:rsid w:val="000F52F4"/>
    <w:rsid w:val="000F56BC"/>
    <w:rsid w:val="000F5B3A"/>
    <w:rsid w:val="000F5E26"/>
    <w:rsid w:val="000F6112"/>
    <w:rsid w:val="000F6167"/>
    <w:rsid w:val="000F6FD6"/>
    <w:rsid w:val="00100497"/>
    <w:rsid w:val="0010121A"/>
    <w:rsid w:val="001013C3"/>
    <w:rsid w:val="00102525"/>
    <w:rsid w:val="00102D8B"/>
    <w:rsid w:val="00102EA2"/>
    <w:rsid w:val="00103E27"/>
    <w:rsid w:val="001048E1"/>
    <w:rsid w:val="0010550C"/>
    <w:rsid w:val="00105A06"/>
    <w:rsid w:val="0010625C"/>
    <w:rsid w:val="001062BB"/>
    <w:rsid w:val="00106661"/>
    <w:rsid w:val="001066F7"/>
    <w:rsid w:val="001067B7"/>
    <w:rsid w:val="001072E6"/>
    <w:rsid w:val="00111AEC"/>
    <w:rsid w:val="00112A61"/>
    <w:rsid w:val="00112F6F"/>
    <w:rsid w:val="00113131"/>
    <w:rsid w:val="00114987"/>
    <w:rsid w:val="00114C28"/>
    <w:rsid w:val="0011507E"/>
    <w:rsid w:val="00115A8D"/>
    <w:rsid w:val="001166EC"/>
    <w:rsid w:val="00116AE9"/>
    <w:rsid w:val="00116D24"/>
    <w:rsid w:val="00117670"/>
    <w:rsid w:val="00117B8E"/>
    <w:rsid w:val="0012080E"/>
    <w:rsid w:val="00120AF6"/>
    <w:rsid w:val="00120E17"/>
    <w:rsid w:val="00121CDC"/>
    <w:rsid w:val="00121DCA"/>
    <w:rsid w:val="0012201D"/>
    <w:rsid w:val="00122DB3"/>
    <w:rsid w:val="0012392B"/>
    <w:rsid w:val="00123A36"/>
    <w:rsid w:val="00124233"/>
    <w:rsid w:val="00124D05"/>
    <w:rsid w:val="0012512F"/>
    <w:rsid w:val="00125E18"/>
    <w:rsid w:val="00125E71"/>
    <w:rsid w:val="0012622E"/>
    <w:rsid w:val="00126836"/>
    <w:rsid w:val="00126981"/>
    <w:rsid w:val="00126C3E"/>
    <w:rsid w:val="001277BB"/>
    <w:rsid w:val="0013010B"/>
    <w:rsid w:val="00130251"/>
    <w:rsid w:val="00130CA4"/>
    <w:rsid w:val="00130F33"/>
    <w:rsid w:val="00130FE7"/>
    <w:rsid w:val="001312A2"/>
    <w:rsid w:val="0013185C"/>
    <w:rsid w:val="00131CEC"/>
    <w:rsid w:val="00132322"/>
    <w:rsid w:val="00132D94"/>
    <w:rsid w:val="00132FD4"/>
    <w:rsid w:val="00133AB8"/>
    <w:rsid w:val="00133B1D"/>
    <w:rsid w:val="00134FEC"/>
    <w:rsid w:val="001358DD"/>
    <w:rsid w:val="00137584"/>
    <w:rsid w:val="00137A68"/>
    <w:rsid w:val="00140547"/>
    <w:rsid w:val="001405B6"/>
    <w:rsid w:val="00140BD2"/>
    <w:rsid w:val="00140EE0"/>
    <w:rsid w:val="001410AB"/>
    <w:rsid w:val="001413C0"/>
    <w:rsid w:val="001418FD"/>
    <w:rsid w:val="00141A97"/>
    <w:rsid w:val="0014225C"/>
    <w:rsid w:val="001427A7"/>
    <w:rsid w:val="00142DBE"/>
    <w:rsid w:val="00143408"/>
    <w:rsid w:val="00143470"/>
    <w:rsid w:val="00143990"/>
    <w:rsid w:val="00143AA9"/>
    <w:rsid w:val="0014414C"/>
    <w:rsid w:val="001446C9"/>
    <w:rsid w:val="00144F9D"/>
    <w:rsid w:val="00145AA9"/>
    <w:rsid w:val="00146880"/>
    <w:rsid w:val="00146BC0"/>
    <w:rsid w:val="00147021"/>
    <w:rsid w:val="0015000A"/>
    <w:rsid w:val="00150340"/>
    <w:rsid w:val="00150355"/>
    <w:rsid w:val="00151E9E"/>
    <w:rsid w:val="0015251A"/>
    <w:rsid w:val="0015261A"/>
    <w:rsid w:val="001534A1"/>
    <w:rsid w:val="00153826"/>
    <w:rsid w:val="00153B2B"/>
    <w:rsid w:val="00153FB9"/>
    <w:rsid w:val="001547AD"/>
    <w:rsid w:val="00154EE6"/>
    <w:rsid w:val="00156944"/>
    <w:rsid w:val="00156B4C"/>
    <w:rsid w:val="0015737E"/>
    <w:rsid w:val="00157B0E"/>
    <w:rsid w:val="00157D5E"/>
    <w:rsid w:val="00160825"/>
    <w:rsid w:val="00160E71"/>
    <w:rsid w:val="001616B4"/>
    <w:rsid w:val="00161ED4"/>
    <w:rsid w:val="001626F0"/>
    <w:rsid w:val="001629D2"/>
    <w:rsid w:val="0016339B"/>
    <w:rsid w:val="00163478"/>
    <w:rsid w:val="00164011"/>
    <w:rsid w:val="001642FB"/>
    <w:rsid w:val="0016482F"/>
    <w:rsid w:val="0016596A"/>
    <w:rsid w:val="00165E7F"/>
    <w:rsid w:val="00165F3A"/>
    <w:rsid w:val="00166AE0"/>
    <w:rsid w:val="00166B0D"/>
    <w:rsid w:val="00167460"/>
    <w:rsid w:val="00167591"/>
    <w:rsid w:val="00170789"/>
    <w:rsid w:val="00171069"/>
    <w:rsid w:val="00171F70"/>
    <w:rsid w:val="00173183"/>
    <w:rsid w:val="00174EF4"/>
    <w:rsid w:val="001751FA"/>
    <w:rsid w:val="001758EE"/>
    <w:rsid w:val="001760AF"/>
    <w:rsid w:val="001760E2"/>
    <w:rsid w:val="00176315"/>
    <w:rsid w:val="00176A92"/>
    <w:rsid w:val="00176ECF"/>
    <w:rsid w:val="0017709C"/>
    <w:rsid w:val="001778D4"/>
    <w:rsid w:val="0018018B"/>
    <w:rsid w:val="00182677"/>
    <w:rsid w:val="00182913"/>
    <w:rsid w:val="00182D9F"/>
    <w:rsid w:val="0018331F"/>
    <w:rsid w:val="001837F7"/>
    <w:rsid w:val="00183CB0"/>
    <w:rsid w:val="00183EC9"/>
    <w:rsid w:val="00183EE5"/>
    <w:rsid w:val="001847E4"/>
    <w:rsid w:val="00184C5D"/>
    <w:rsid w:val="00184EE7"/>
    <w:rsid w:val="0018500A"/>
    <w:rsid w:val="00185130"/>
    <w:rsid w:val="00185474"/>
    <w:rsid w:val="001856BA"/>
    <w:rsid w:val="001856C9"/>
    <w:rsid w:val="0018598C"/>
    <w:rsid w:val="00190076"/>
    <w:rsid w:val="001906D7"/>
    <w:rsid w:val="001908F0"/>
    <w:rsid w:val="001909EE"/>
    <w:rsid w:val="00190C82"/>
    <w:rsid w:val="00190FB3"/>
    <w:rsid w:val="0019127D"/>
    <w:rsid w:val="00192959"/>
    <w:rsid w:val="00192C6F"/>
    <w:rsid w:val="00192EFA"/>
    <w:rsid w:val="0019321D"/>
    <w:rsid w:val="0019377A"/>
    <w:rsid w:val="00193984"/>
    <w:rsid w:val="00193A19"/>
    <w:rsid w:val="00193CAE"/>
    <w:rsid w:val="00194082"/>
    <w:rsid w:val="001952AA"/>
    <w:rsid w:val="00195C84"/>
    <w:rsid w:val="00195D95"/>
    <w:rsid w:val="001970EC"/>
    <w:rsid w:val="001977BF"/>
    <w:rsid w:val="00197856"/>
    <w:rsid w:val="00197A21"/>
    <w:rsid w:val="00197A5D"/>
    <w:rsid w:val="001A03C8"/>
    <w:rsid w:val="001A0814"/>
    <w:rsid w:val="001A0AC8"/>
    <w:rsid w:val="001A190F"/>
    <w:rsid w:val="001A2320"/>
    <w:rsid w:val="001A2C90"/>
    <w:rsid w:val="001A3D15"/>
    <w:rsid w:val="001A4197"/>
    <w:rsid w:val="001A5AC6"/>
    <w:rsid w:val="001A5BAA"/>
    <w:rsid w:val="001A5C6D"/>
    <w:rsid w:val="001A6397"/>
    <w:rsid w:val="001A6778"/>
    <w:rsid w:val="001A6DE4"/>
    <w:rsid w:val="001A6EE4"/>
    <w:rsid w:val="001A72F6"/>
    <w:rsid w:val="001A769A"/>
    <w:rsid w:val="001A7821"/>
    <w:rsid w:val="001B032C"/>
    <w:rsid w:val="001B1836"/>
    <w:rsid w:val="001B19A6"/>
    <w:rsid w:val="001B1B68"/>
    <w:rsid w:val="001B1D43"/>
    <w:rsid w:val="001B2042"/>
    <w:rsid w:val="001B32D7"/>
    <w:rsid w:val="001B33FE"/>
    <w:rsid w:val="001B3502"/>
    <w:rsid w:val="001B362E"/>
    <w:rsid w:val="001B44D5"/>
    <w:rsid w:val="001B4BD2"/>
    <w:rsid w:val="001B5C19"/>
    <w:rsid w:val="001B6035"/>
    <w:rsid w:val="001B649F"/>
    <w:rsid w:val="001B696D"/>
    <w:rsid w:val="001B6A30"/>
    <w:rsid w:val="001B73C9"/>
    <w:rsid w:val="001B750A"/>
    <w:rsid w:val="001B7A4C"/>
    <w:rsid w:val="001B7A5F"/>
    <w:rsid w:val="001B7E2A"/>
    <w:rsid w:val="001B7F2D"/>
    <w:rsid w:val="001C0290"/>
    <w:rsid w:val="001C02B1"/>
    <w:rsid w:val="001C0E34"/>
    <w:rsid w:val="001C10A5"/>
    <w:rsid w:val="001C12FE"/>
    <w:rsid w:val="001C276F"/>
    <w:rsid w:val="001C353C"/>
    <w:rsid w:val="001C363A"/>
    <w:rsid w:val="001C4297"/>
    <w:rsid w:val="001C4316"/>
    <w:rsid w:val="001C4342"/>
    <w:rsid w:val="001C4BCC"/>
    <w:rsid w:val="001C51D2"/>
    <w:rsid w:val="001C52D4"/>
    <w:rsid w:val="001C5507"/>
    <w:rsid w:val="001C551D"/>
    <w:rsid w:val="001C561D"/>
    <w:rsid w:val="001C5639"/>
    <w:rsid w:val="001C5736"/>
    <w:rsid w:val="001C58C2"/>
    <w:rsid w:val="001C5E77"/>
    <w:rsid w:val="001C5F58"/>
    <w:rsid w:val="001C725C"/>
    <w:rsid w:val="001C736F"/>
    <w:rsid w:val="001C7D67"/>
    <w:rsid w:val="001D0BFD"/>
    <w:rsid w:val="001D0C53"/>
    <w:rsid w:val="001D0E9A"/>
    <w:rsid w:val="001D148B"/>
    <w:rsid w:val="001D157A"/>
    <w:rsid w:val="001D2049"/>
    <w:rsid w:val="001D25F5"/>
    <w:rsid w:val="001D325D"/>
    <w:rsid w:val="001D328D"/>
    <w:rsid w:val="001D32FE"/>
    <w:rsid w:val="001D3B60"/>
    <w:rsid w:val="001D3C5C"/>
    <w:rsid w:val="001D4361"/>
    <w:rsid w:val="001D4591"/>
    <w:rsid w:val="001D5237"/>
    <w:rsid w:val="001D5353"/>
    <w:rsid w:val="001D53BB"/>
    <w:rsid w:val="001D54AA"/>
    <w:rsid w:val="001D5F7F"/>
    <w:rsid w:val="001D6BE2"/>
    <w:rsid w:val="001D765D"/>
    <w:rsid w:val="001D7C5E"/>
    <w:rsid w:val="001E065C"/>
    <w:rsid w:val="001E09E5"/>
    <w:rsid w:val="001E1EB7"/>
    <w:rsid w:val="001E2515"/>
    <w:rsid w:val="001E267D"/>
    <w:rsid w:val="001E3481"/>
    <w:rsid w:val="001E3559"/>
    <w:rsid w:val="001E384F"/>
    <w:rsid w:val="001E3879"/>
    <w:rsid w:val="001E391F"/>
    <w:rsid w:val="001E4325"/>
    <w:rsid w:val="001E439B"/>
    <w:rsid w:val="001E472A"/>
    <w:rsid w:val="001E4B0D"/>
    <w:rsid w:val="001E4B42"/>
    <w:rsid w:val="001E4F7E"/>
    <w:rsid w:val="001E5915"/>
    <w:rsid w:val="001E5A55"/>
    <w:rsid w:val="001E721C"/>
    <w:rsid w:val="001E74DE"/>
    <w:rsid w:val="001E78C6"/>
    <w:rsid w:val="001E7D43"/>
    <w:rsid w:val="001F0465"/>
    <w:rsid w:val="001F076F"/>
    <w:rsid w:val="001F115D"/>
    <w:rsid w:val="001F15FE"/>
    <w:rsid w:val="001F1D01"/>
    <w:rsid w:val="001F1D0C"/>
    <w:rsid w:val="001F1D2E"/>
    <w:rsid w:val="001F21E3"/>
    <w:rsid w:val="001F242F"/>
    <w:rsid w:val="001F24B3"/>
    <w:rsid w:val="001F2674"/>
    <w:rsid w:val="001F3046"/>
    <w:rsid w:val="001F3B3A"/>
    <w:rsid w:val="001F3B4F"/>
    <w:rsid w:val="001F3BE6"/>
    <w:rsid w:val="001F45BC"/>
    <w:rsid w:val="001F4E12"/>
    <w:rsid w:val="001F4E3B"/>
    <w:rsid w:val="001F5142"/>
    <w:rsid w:val="001F5844"/>
    <w:rsid w:val="001F6148"/>
    <w:rsid w:val="001F66F3"/>
    <w:rsid w:val="001F679A"/>
    <w:rsid w:val="001F794B"/>
    <w:rsid w:val="00200F20"/>
    <w:rsid w:val="002011C7"/>
    <w:rsid w:val="0020136D"/>
    <w:rsid w:val="00201BE8"/>
    <w:rsid w:val="00202355"/>
    <w:rsid w:val="00202444"/>
    <w:rsid w:val="002026DA"/>
    <w:rsid w:val="00203352"/>
    <w:rsid w:val="00203C37"/>
    <w:rsid w:val="00204B75"/>
    <w:rsid w:val="00204DB2"/>
    <w:rsid w:val="00205612"/>
    <w:rsid w:val="002061C7"/>
    <w:rsid w:val="002062A9"/>
    <w:rsid w:val="002062E9"/>
    <w:rsid w:val="00206D6C"/>
    <w:rsid w:val="002072BA"/>
    <w:rsid w:val="002074A8"/>
    <w:rsid w:val="0020780A"/>
    <w:rsid w:val="00207938"/>
    <w:rsid w:val="00207FF5"/>
    <w:rsid w:val="00210BA5"/>
    <w:rsid w:val="00210FA3"/>
    <w:rsid w:val="0021131E"/>
    <w:rsid w:val="00211ABF"/>
    <w:rsid w:val="0021246A"/>
    <w:rsid w:val="00213061"/>
    <w:rsid w:val="0021332C"/>
    <w:rsid w:val="0021419B"/>
    <w:rsid w:val="0021430E"/>
    <w:rsid w:val="00214E58"/>
    <w:rsid w:val="0021523A"/>
    <w:rsid w:val="00215EAC"/>
    <w:rsid w:val="00216195"/>
    <w:rsid w:val="00216732"/>
    <w:rsid w:val="00216923"/>
    <w:rsid w:val="0021707A"/>
    <w:rsid w:val="00217956"/>
    <w:rsid w:val="00217CD1"/>
    <w:rsid w:val="00217DFB"/>
    <w:rsid w:val="0022059F"/>
    <w:rsid w:val="002209C0"/>
    <w:rsid w:val="0022123A"/>
    <w:rsid w:val="002213C9"/>
    <w:rsid w:val="002216C7"/>
    <w:rsid w:val="00221B04"/>
    <w:rsid w:val="0022233E"/>
    <w:rsid w:val="0022304E"/>
    <w:rsid w:val="00223367"/>
    <w:rsid w:val="002237DD"/>
    <w:rsid w:val="00223C45"/>
    <w:rsid w:val="00223F8A"/>
    <w:rsid w:val="00224781"/>
    <w:rsid w:val="00224D19"/>
    <w:rsid w:val="00225BAD"/>
    <w:rsid w:val="00226874"/>
    <w:rsid w:val="00226D8F"/>
    <w:rsid w:val="00226DA9"/>
    <w:rsid w:val="0022764A"/>
    <w:rsid w:val="0023011B"/>
    <w:rsid w:val="00230327"/>
    <w:rsid w:val="0023040E"/>
    <w:rsid w:val="0023076B"/>
    <w:rsid w:val="00230FA5"/>
    <w:rsid w:val="00232EA3"/>
    <w:rsid w:val="00232FD5"/>
    <w:rsid w:val="00233A26"/>
    <w:rsid w:val="002344AA"/>
    <w:rsid w:val="00234854"/>
    <w:rsid w:val="002349FF"/>
    <w:rsid w:val="0023514B"/>
    <w:rsid w:val="00235195"/>
    <w:rsid w:val="00235711"/>
    <w:rsid w:val="00236526"/>
    <w:rsid w:val="0023682A"/>
    <w:rsid w:val="00236EB3"/>
    <w:rsid w:val="00236ED3"/>
    <w:rsid w:val="002370B6"/>
    <w:rsid w:val="00237CCA"/>
    <w:rsid w:val="00240C7C"/>
    <w:rsid w:val="0024120A"/>
    <w:rsid w:val="002415A2"/>
    <w:rsid w:val="00241672"/>
    <w:rsid w:val="0024171D"/>
    <w:rsid w:val="00241B20"/>
    <w:rsid w:val="00241CCA"/>
    <w:rsid w:val="0024290C"/>
    <w:rsid w:val="00242C79"/>
    <w:rsid w:val="00242E1C"/>
    <w:rsid w:val="00243545"/>
    <w:rsid w:val="0024463A"/>
    <w:rsid w:val="002446C2"/>
    <w:rsid w:val="002449D3"/>
    <w:rsid w:val="00244F25"/>
    <w:rsid w:val="002450B1"/>
    <w:rsid w:val="00245E0B"/>
    <w:rsid w:val="00246B3A"/>
    <w:rsid w:val="00247CF4"/>
    <w:rsid w:val="002516D3"/>
    <w:rsid w:val="00251B29"/>
    <w:rsid w:val="00251D02"/>
    <w:rsid w:val="00252117"/>
    <w:rsid w:val="00253199"/>
    <w:rsid w:val="00253290"/>
    <w:rsid w:val="00254A6E"/>
    <w:rsid w:val="00254B40"/>
    <w:rsid w:val="002553F7"/>
    <w:rsid w:val="00255BBB"/>
    <w:rsid w:val="00255E4B"/>
    <w:rsid w:val="00256699"/>
    <w:rsid w:val="0025704C"/>
    <w:rsid w:val="0025786C"/>
    <w:rsid w:val="00257C07"/>
    <w:rsid w:val="002605D9"/>
    <w:rsid w:val="002606D5"/>
    <w:rsid w:val="002607F6"/>
    <w:rsid w:val="00261570"/>
    <w:rsid w:val="00261CC4"/>
    <w:rsid w:val="0026228A"/>
    <w:rsid w:val="002622B9"/>
    <w:rsid w:val="00262BDD"/>
    <w:rsid w:val="002631E2"/>
    <w:rsid w:val="002634DA"/>
    <w:rsid w:val="00263C25"/>
    <w:rsid w:val="00263ECF"/>
    <w:rsid w:val="00264BD0"/>
    <w:rsid w:val="00265177"/>
    <w:rsid w:val="002666A7"/>
    <w:rsid w:val="00266F26"/>
    <w:rsid w:val="002670AA"/>
    <w:rsid w:val="00267A21"/>
    <w:rsid w:val="00270334"/>
    <w:rsid w:val="00272205"/>
    <w:rsid w:val="0027356F"/>
    <w:rsid w:val="00273BE6"/>
    <w:rsid w:val="002742FA"/>
    <w:rsid w:val="00274B5A"/>
    <w:rsid w:val="00274DF9"/>
    <w:rsid w:val="00275390"/>
    <w:rsid w:val="002758F5"/>
    <w:rsid w:val="00275A5F"/>
    <w:rsid w:val="00275F23"/>
    <w:rsid w:val="0027663A"/>
    <w:rsid w:val="0027684E"/>
    <w:rsid w:val="00276D23"/>
    <w:rsid w:val="0027707E"/>
    <w:rsid w:val="0027721E"/>
    <w:rsid w:val="0027724B"/>
    <w:rsid w:val="00280464"/>
    <w:rsid w:val="00280882"/>
    <w:rsid w:val="00280BF0"/>
    <w:rsid w:val="00281ACE"/>
    <w:rsid w:val="00282121"/>
    <w:rsid w:val="00282ACC"/>
    <w:rsid w:val="00282CB4"/>
    <w:rsid w:val="00282F6B"/>
    <w:rsid w:val="00283BB7"/>
    <w:rsid w:val="002849AA"/>
    <w:rsid w:val="002849EC"/>
    <w:rsid w:val="00285940"/>
    <w:rsid w:val="00285AFF"/>
    <w:rsid w:val="0028708B"/>
    <w:rsid w:val="002870E2"/>
    <w:rsid w:val="002871E0"/>
    <w:rsid w:val="0028760B"/>
    <w:rsid w:val="002900C5"/>
    <w:rsid w:val="00292253"/>
    <w:rsid w:val="00292F85"/>
    <w:rsid w:val="002931B5"/>
    <w:rsid w:val="002938DB"/>
    <w:rsid w:val="00293C6A"/>
    <w:rsid w:val="0029421F"/>
    <w:rsid w:val="00294583"/>
    <w:rsid w:val="0029551C"/>
    <w:rsid w:val="00295850"/>
    <w:rsid w:val="002968AB"/>
    <w:rsid w:val="00296D49"/>
    <w:rsid w:val="00296FF3"/>
    <w:rsid w:val="0029799F"/>
    <w:rsid w:val="00297A0B"/>
    <w:rsid w:val="002A0658"/>
    <w:rsid w:val="002A0B25"/>
    <w:rsid w:val="002A0C2B"/>
    <w:rsid w:val="002A117B"/>
    <w:rsid w:val="002A1882"/>
    <w:rsid w:val="002A268A"/>
    <w:rsid w:val="002A269B"/>
    <w:rsid w:val="002A276E"/>
    <w:rsid w:val="002A3306"/>
    <w:rsid w:val="002A3928"/>
    <w:rsid w:val="002A39D9"/>
    <w:rsid w:val="002A3B4E"/>
    <w:rsid w:val="002A44DB"/>
    <w:rsid w:val="002A5B2A"/>
    <w:rsid w:val="002A5BCE"/>
    <w:rsid w:val="002A7645"/>
    <w:rsid w:val="002A767F"/>
    <w:rsid w:val="002B0381"/>
    <w:rsid w:val="002B0BA9"/>
    <w:rsid w:val="002B0E23"/>
    <w:rsid w:val="002B13B9"/>
    <w:rsid w:val="002B16BC"/>
    <w:rsid w:val="002B25B5"/>
    <w:rsid w:val="002B2EDB"/>
    <w:rsid w:val="002B375C"/>
    <w:rsid w:val="002B3930"/>
    <w:rsid w:val="002B3AA1"/>
    <w:rsid w:val="002B3B82"/>
    <w:rsid w:val="002B3C2E"/>
    <w:rsid w:val="002B4743"/>
    <w:rsid w:val="002B530F"/>
    <w:rsid w:val="002B5329"/>
    <w:rsid w:val="002B55D3"/>
    <w:rsid w:val="002B6A5C"/>
    <w:rsid w:val="002B730D"/>
    <w:rsid w:val="002B7500"/>
    <w:rsid w:val="002C0ECE"/>
    <w:rsid w:val="002C0EDB"/>
    <w:rsid w:val="002C18D2"/>
    <w:rsid w:val="002C2868"/>
    <w:rsid w:val="002C2935"/>
    <w:rsid w:val="002C2A71"/>
    <w:rsid w:val="002C3E18"/>
    <w:rsid w:val="002C4919"/>
    <w:rsid w:val="002C50C4"/>
    <w:rsid w:val="002C53AF"/>
    <w:rsid w:val="002C57FD"/>
    <w:rsid w:val="002C677F"/>
    <w:rsid w:val="002C69B1"/>
    <w:rsid w:val="002D1BC4"/>
    <w:rsid w:val="002D200F"/>
    <w:rsid w:val="002D272A"/>
    <w:rsid w:val="002D2F7D"/>
    <w:rsid w:val="002D32C4"/>
    <w:rsid w:val="002D3487"/>
    <w:rsid w:val="002D3CCA"/>
    <w:rsid w:val="002D3DA5"/>
    <w:rsid w:val="002D4497"/>
    <w:rsid w:val="002D4D49"/>
    <w:rsid w:val="002D4FE0"/>
    <w:rsid w:val="002D5CF2"/>
    <w:rsid w:val="002D5F6D"/>
    <w:rsid w:val="002D67C5"/>
    <w:rsid w:val="002D6C70"/>
    <w:rsid w:val="002D71F3"/>
    <w:rsid w:val="002D7588"/>
    <w:rsid w:val="002E0146"/>
    <w:rsid w:val="002E028B"/>
    <w:rsid w:val="002E0A8B"/>
    <w:rsid w:val="002E0CF7"/>
    <w:rsid w:val="002E1062"/>
    <w:rsid w:val="002E1500"/>
    <w:rsid w:val="002E1E98"/>
    <w:rsid w:val="002E2005"/>
    <w:rsid w:val="002E250B"/>
    <w:rsid w:val="002E28B9"/>
    <w:rsid w:val="002E2FD4"/>
    <w:rsid w:val="002E3A54"/>
    <w:rsid w:val="002E3D23"/>
    <w:rsid w:val="002E4106"/>
    <w:rsid w:val="002E4B2F"/>
    <w:rsid w:val="002E4C19"/>
    <w:rsid w:val="002E580A"/>
    <w:rsid w:val="002E5ADD"/>
    <w:rsid w:val="002E7B41"/>
    <w:rsid w:val="002F0034"/>
    <w:rsid w:val="002F0201"/>
    <w:rsid w:val="002F03FD"/>
    <w:rsid w:val="002F07CD"/>
    <w:rsid w:val="002F07E1"/>
    <w:rsid w:val="002F084E"/>
    <w:rsid w:val="002F1AD7"/>
    <w:rsid w:val="002F3799"/>
    <w:rsid w:val="002F42E8"/>
    <w:rsid w:val="002F4F40"/>
    <w:rsid w:val="002F51B7"/>
    <w:rsid w:val="002F5453"/>
    <w:rsid w:val="002F5C86"/>
    <w:rsid w:val="002F63AE"/>
    <w:rsid w:val="002F643F"/>
    <w:rsid w:val="002F739D"/>
    <w:rsid w:val="0030030A"/>
    <w:rsid w:val="00300693"/>
    <w:rsid w:val="00300BA8"/>
    <w:rsid w:val="0030136A"/>
    <w:rsid w:val="003023DD"/>
    <w:rsid w:val="00302684"/>
    <w:rsid w:val="003031E0"/>
    <w:rsid w:val="00303401"/>
    <w:rsid w:val="003034D1"/>
    <w:rsid w:val="00303DA1"/>
    <w:rsid w:val="00305181"/>
    <w:rsid w:val="003052A8"/>
    <w:rsid w:val="003053C4"/>
    <w:rsid w:val="00305F6D"/>
    <w:rsid w:val="00306385"/>
    <w:rsid w:val="00306635"/>
    <w:rsid w:val="003074A3"/>
    <w:rsid w:val="00307900"/>
    <w:rsid w:val="00307BDF"/>
    <w:rsid w:val="00307EAD"/>
    <w:rsid w:val="00307FF2"/>
    <w:rsid w:val="00310106"/>
    <w:rsid w:val="00310BE1"/>
    <w:rsid w:val="00310C93"/>
    <w:rsid w:val="003113B6"/>
    <w:rsid w:val="0031180B"/>
    <w:rsid w:val="0031198A"/>
    <w:rsid w:val="00311B24"/>
    <w:rsid w:val="003128CC"/>
    <w:rsid w:val="00312A6D"/>
    <w:rsid w:val="00312B81"/>
    <w:rsid w:val="00312DD9"/>
    <w:rsid w:val="00313083"/>
    <w:rsid w:val="003134A5"/>
    <w:rsid w:val="00313829"/>
    <w:rsid w:val="00313CDC"/>
    <w:rsid w:val="003146D9"/>
    <w:rsid w:val="00314947"/>
    <w:rsid w:val="00314B40"/>
    <w:rsid w:val="0031504F"/>
    <w:rsid w:val="00315C17"/>
    <w:rsid w:val="0031618F"/>
    <w:rsid w:val="003163C8"/>
    <w:rsid w:val="00316B64"/>
    <w:rsid w:val="0031708B"/>
    <w:rsid w:val="003171E9"/>
    <w:rsid w:val="0031745F"/>
    <w:rsid w:val="003179C9"/>
    <w:rsid w:val="00317A4F"/>
    <w:rsid w:val="00317D43"/>
    <w:rsid w:val="0032000B"/>
    <w:rsid w:val="003204EF"/>
    <w:rsid w:val="003206AC"/>
    <w:rsid w:val="00320C72"/>
    <w:rsid w:val="00320FF4"/>
    <w:rsid w:val="00321445"/>
    <w:rsid w:val="00321517"/>
    <w:rsid w:val="00322285"/>
    <w:rsid w:val="00322E29"/>
    <w:rsid w:val="00322EA1"/>
    <w:rsid w:val="00323B76"/>
    <w:rsid w:val="00323D30"/>
    <w:rsid w:val="00323D7A"/>
    <w:rsid w:val="0032410A"/>
    <w:rsid w:val="00324148"/>
    <w:rsid w:val="00324EEA"/>
    <w:rsid w:val="003250CD"/>
    <w:rsid w:val="00325499"/>
    <w:rsid w:val="00326994"/>
    <w:rsid w:val="00326BD5"/>
    <w:rsid w:val="00326CFE"/>
    <w:rsid w:val="003273B1"/>
    <w:rsid w:val="003278BD"/>
    <w:rsid w:val="00327C0F"/>
    <w:rsid w:val="00330A86"/>
    <w:rsid w:val="003316F6"/>
    <w:rsid w:val="003318CD"/>
    <w:rsid w:val="00332816"/>
    <w:rsid w:val="00332BF6"/>
    <w:rsid w:val="00333341"/>
    <w:rsid w:val="00333C3E"/>
    <w:rsid w:val="00335324"/>
    <w:rsid w:val="003357AE"/>
    <w:rsid w:val="00335A7E"/>
    <w:rsid w:val="00335B9A"/>
    <w:rsid w:val="0033665D"/>
    <w:rsid w:val="00337414"/>
    <w:rsid w:val="00340080"/>
    <w:rsid w:val="00340832"/>
    <w:rsid w:val="003416F6"/>
    <w:rsid w:val="003419D7"/>
    <w:rsid w:val="00341B80"/>
    <w:rsid w:val="00341CBE"/>
    <w:rsid w:val="00341E1E"/>
    <w:rsid w:val="003422F6"/>
    <w:rsid w:val="00342357"/>
    <w:rsid w:val="003424AB"/>
    <w:rsid w:val="003426D2"/>
    <w:rsid w:val="00342D33"/>
    <w:rsid w:val="0034301F"/>
    <w:rsid w:val="003430E3"/>
    <w:rsid w:val="00343116"/>
    <w:rsid w:val="00343B75"/>
    <w:rsid w:val="003443E0"/>
    <w:rsid w:val="00344EF6"/>
    <w:rsid w:val="0034549A"/>
    <w:rsid w:val="00345E13"/>
    <w:rsid w:val="00347447"/>
    <w:rsid w:val="00347A60"/>
    <w:rsid w:val="00347D69"/>
    <w:rsid w:val="003502AE"/>
    <w:rsid w:val="00350DBD"/>
    <w:rsid w:val="00351415"/>
    <w:rsid w:val="003515CF"/>
    <w:rsid w:val="0035222A"/>
    <w:rsid w:val="00352656"/>
    <w:rsid w:val="003529F1"/>
    <w:rsid w:val="00352AB3"/>
    <w:rsid w:val="00352FC2"/>
    <w:rsid w:val="00352FED"/>
    <w:rsid w:val="00353282"/>
    <w:rsid w:val="00354AE1"/>
    <w:rsid w:val="00354F1B"/>
    <w:rsid w:val="0035515B"/>
    <w:rsid w:val="00355B4F"/>
    <w:rsid w:val="0035625D"/>
    <w:rsid w:val="00356AEF"/>
    <w:rsid w:val="00356AFB"/>
    <w:rsid w:val="00356D51"/>
    <w:rsid w:val="00356F4D"/>
    <w:rsid w:val="003571C6"/>
    <w:rsid w:val="00357A5C"/>
    <w:rsid w:val="00357E02"/>
    <w:rsid w:val="003608C6"/>
    <w:rsid w:val="0036111A"/>
    <w:rsid w:val="003612AD"/>
    <w:rsid w:val="003619E9"/>
    <w:rsid w:val="00362B38"/>
    <w:rsid w:val="00363221"/>
    <w:rsid w:val="003634C7"/>
    <w:rsid w:val="003634EF"/>
    <w:rsid w:val="003635D9"/>
    <w:rsid w:val="0036403A"/>
    <w:rsid w:val="00364D97"/>
    <w:rsid w:val="0036715A"/>
    <w:rsid w:val="00370967"/>
    <w:rsid w:val="00370D84"/>
    <w:rsid w:val="0037165F"/>
    <w:rsid w:val="003717FC"/>
    <w:rsid w:val="00371FAA"/>
    <w:rsid w:val="00372083"/>
    <w:rsid w:val="00372112"/>
    <w:rsid w:val="003726C2"/>
    <w:rsid w:val="00372A1C"/>
    <w:rsid w:val="00372EB7"/>
    <w:rsid w:val="0037315A"/>
    <w:rsid w:val="00373339"/>
    <w:rsid w:val="00373C93"/>
    <w:rsid w:val="00373CDD"/>
    <w:rsid w:val="003749D0"/>
    <w:rsid w:val="00374C9D"/>
    <w:rsid w:val="00376392"/>
    <w:rsid w:val="00376679"/>
    <w:rsid w:val="003771BD"/>
    <w:rsid w:val="003774E2"/>
    <w:rsid w:val="00377EE0"/>
    <w:rsid w:val="00380E2B"/>
    <w:rsid w:val="003811C5"/>
    <w:rsid w:val="00381F0A"/>
    <w:rsid w:val="00382F63"/>
    <w:rsid w:val="0038332A"/>
    <w:rsid w:val="00384D9D"/>
    <w:rsid w:val="00385245"/>
    <w:rsid w:val="0038528C"/>
    <w:rsid w:val="0038603C"/>
    <w:rsid w:val="0038611D"/>
    <w:rsid w:val="0038648F"/>
    <w:rsid w:val="00386548"/>
    <w:rsid w:val="003867D1"/>
    <w:rsid w:val="00386EE8"/>
    <w:rsid w:val="00387503"/>
    <w:rsid w:val="00390383"/>
    <w:rsid w:val="00390575"/>
    <w:rsid w:val="0039097B"/>
    <w:rsid w:val="00390CAE"/>
    <w:rsid w:val="003910BC"/>
    <w:rsid w:val="003911BC"/>
    <w:rsid w:val="00391785"/>
    <w:rsid w:val="0039215D"/>
    <w:rsid w:val="003921A7"/>
    <w:rsid w:val="003921BD"/>
    <w:rsid w:val="0039285C"/>
    <w:rsid w:val="0039427D"/>
    <w:rsid w:val="00394B95"/>
    <w:rsid w:val="00394E82"/>
    <w:rsid w:val="0039524D"/>
    <w:rsid w:val="00396DED"/>
    <w:rsid w:val="003970D2"/>
    <w:rsid w:val="00397120"/>
    <w:rsid w:val="0039781B"/>
    <w:rsid w:val="003A0D5E"/>
    <w:rsid w:val="003A0F01"/>
    <w:rsid w:val="003A2111"/>
    <w:rsid w:val="003A235B"/>
    <w:rsid w:val="003A53BC"/>
    <w:rsid w:val="003A55DC"/>
    <w:rsid w:val="003A5BEF"/>
    <w:rsid w:val="003A6152"/>
    <w:rsid w:val="003A6529"/>
    <w:rsid w:val="003A67A8"/>
    <w:rsid w:val="003A6CC7"/>
    <w:rsid w:val="003A7FFD"/>
    <w:rsid w:val="003B0357"/>
    <w:rsid w:val="003B05F9"/>
    <w:rsid w:val="003B0ED5"/>
    <w:rsid w:val="003B1799"/>
    <w:rsid w:val="003B18A5"/>
    <w:rsid w:val="003B1963"/>
    <w:rsid w:val="003B2089"/>
    <w:rsid w:val="003B26D8"/>
    <w:rsid w:val="003B2E84"/>
    <w:rsid w:val="003B3664"/>
    <w:rsid w:val="003B4004"/>
    <w:rsid w:val="003B4A1F"/>
    <w:rsid w:val="003B56F7"/>
    <w:rsid w:val="003B5CCC"/>
    <w:rsid w:val="003B5DCC"/>
    <w:rsid w:val="003B5E32"/>
    <w:rsid w:val="003B6BFB"/>
    <w:rsid w:val="003B7A9C"/>
    <w:rsid w:val="003B7D20"/>
    <w:rsid w:val="003C05D2"/>
    <w:rsid w:val="003C0799"/>
    <w:rsid w:val="003C096B"/>
    <w:rsid w:val="003C0FB2"/>
    <w:rsid w:val="003C119F"/>
    <w:rsid w:val="003C1A32"/>
    <w:rsid w:val="003C1CF7"/>
    <w:rsid w:val="003C205E"/>
    <w:rsid w:val="003C2342"/>
    <w:rsid w:val="003C28AF"/>
    <w:rsid w:val="003C2994"/>
    <w:rsid w:val="003C2C74"/>
    <w:rsid w:val="003C314B"/>
    <w:rsid w:val="003C3227"/>
    <w:rsid w:val="003C32CB"/>
    <w:rsid w:val="003C3CD7"/>
    <w:rsid w:val="003C4447"/>
    <w:rsid w:val="003C46EA"/>
    <w:rsid w:val="003C4D09"/>
    <w:rsid w:val="003C4FF0"/>
    <w:rsid w:val="003C50B1"/>
    <w:rsid w:val="003C5231"/>
    <w:rsid w:val="003C60F5"/>
    <w:rsid w:val="003D0D6B"/>
    <w:rsid w:val="003D0E5C"/>
    <w:rsid w:val="003D1A78"/>
    <w:rsid w:val="003D2FCD"/>
    <w:rsid w:val="003D3104"/>
    <w:rsid w:val="003D3256"/>
    <w:rsid w:val="003D329C"/>
    <w:rsid w:val="003D33F5"/>
    <w:rsid w:val="003D3B6D"/>
    <w:rsid w:val="003D4173"/>
    <w:rsid w:val="003D57A0"/>
    <w:rsid w:val="003D6F6E"/>
    <w:rsid w:val="003D70C5"/>
    <w:rsid w:val="003D7923"/>
    <w:rsid w:val="003E048B"/>
    <w:rsid w:val="003E0874"/>
    <w:rsid w:val="003E0EF9"/>
    <w:rsid w:val="003E0F73"/>
    <w:rsid w:val="003E22AF"/>
    <w:rsid w:val="003E2E0D"/>
    <w:rsid w:val="003E331F"/>
    <w:rsid w:val="003E3A0F"/>
    <w:rsid w:val="003E4428"/>
    <w:rsid w:val="003E4EA8"/>
    <w:rsid w:val="003E54CE"/>
    <w:rsid w:val="003E560C"/>
    <w:rsid w:val="003E5ABA"/>
    <w:rsid w:val="003E5DB9"/>
    <w:rsid w:val="003E6630"/>
    <w:rsid w:val="003E6986"/>
    <w:rsid w:val="003E748D"/>
    <w:rsid w:val="003F0088"/>
    <w:rsid w:val="003F030B"/>
    <w:rsid w:val="003F0663"/>
    <w:rsid w:val="003F0F3F"/>
    <w:rsid w:val="003F1390"/>
    <w:rsid w:val="003F1A3C"/>
    <w:rsid w:val="003F1B9A"/>
    <w:rsid w:val="003F2A6A"/>
    <w:rsid w:val="003F30DD"/>
    <w:rsid w:val="003F30F8"/>
    <w:rsid w:val="003F32A3"/>
    <w:rsid w:val="003F388E"/>
    <w:rsid w:val="003F3BA7"/>
    <w:rsid w:val="003F3C64"/>
    <w:rsid w:val="003F4373"/>
    <w:rsid w:val="003F4C1D"/>
    <w:rsid w:val="003F50DC"/>
    <w:rsid w:val="003F5105"/>
    <w:rsid w:val="003F52F2"/>
    <w:rsid w:val="003F52F9"/>
    <w:rsid w:val="003F5518"/>
    <w:rsid w:val="003F5969"/>
    <w:rsid w:val="003F5A36"/>
    <w:rsid w:val="003F61A1"/>
    <w:rsid w:val="003F69F3"/>
    <w:rsid w:val="003F780F"/>
    <w:rsid w:val="003F7FA2"/>
    <w:rsid w:val="003F7FBD"/>
    <w:rsid w:val="00400D38"/>
    <w:rsid w:val="00400E07"/>
    <w:rsid w:val="00401213"/>
    <w:rsid w:val="0040137E"/>
    <w:rsid w:val="004014C4"/>
    <w:rsid w:val="0040173F"/>
    <w:rsid w:val="00401C38"/>
    <w:rsid w:val="00401FF7"/>
    <w:rsid w:val="00402E5A"/>
    <w:rsid w:val="004032FB"/>
    <w:rsid w:val="00403518"/>
    <w:rsid w:val="00403E27"/>
    <w:rsid w:val="00404197"/>
    <w:rsid w:val="00404276"/>
    <w:rsid w:val="00404677"/>
    <w:rsid w:val="0040489C"/>
    <w:rsid w:val="0040589C"/>
    <w:rsid w:val="004064B2"/>
    <w:rsid w:val="00406770"/>
    <w:rsid w:val="00407EB7"/>
    <w:rsid w:val="0041014F"/>
    <w:rsid w:val="004102BE"/>
    <w:rsid w:val="00412248"/>
    <w:rsid w:val="00413222"/>
    <w:rsid w:val="004135C6"/>
    <w:rsid w:val="00413C76"/>
    <w:rsid w:val="00414CE6"/>
    <w:rsid w:val="00414E87"/>
    <w:rsid w:val="004150CD"/>
    <w:rsid w:val="004155FC"/>
    <w:rsid w:val="0041585E"/>
    <w:rsid w:val="00415A7B"/>
    <w:rsid w:val="004167E0"/>
    <w:rsid w:val="00416C65"/>
    <w:rsid w:val="004171E8"/>
    <w:rsid w:val="00417259"/>
    <w:rsid w:val="004209AB"/>
    <w:rsid w:val="00420CF2"/>
    <w:rsid w:val="00422147"/>
    <w:rsid w:val="004221C4"/>
    <w:rsid w:val="0042238B"/>
    <w:rsid w:val="0042363E"/>
    <w:rsid w:val="00424846"/>
    <w:rsid w:val="00424EBE"/>
    <w:rsid w:val="0042501A"/>
    <w:rsid w:val="0042546B"/>
    <w:rsid w:val="00426070"/>
    <w:rsid w:val="00427B42"/>
    <w:rsid w:val="004300C0"/>
    <w:rsid w:val="004300DC"/>
    <w:rsid w:val="00430E57"/>
    <w:rsid w:val="004311B6"/>
    <w:rsid w:val="004312E8"/>
    <w:rsid w:val="00431493"/>
    <w:rsid w:val="00431FF8"/>
    <w:rsid w:val="0043247C"/>
    <w:rsid w:val="00432DA8"/>
    <w:rsid w:val="00433771"/>
    <w:rsid w:val="00433E5C"/>
    <w:rsid w:val="00434030"/>
    <w:rsid w:val="004342D2"/>
    <w:rsid w:val="00434B69"/>
    <w:rsid w:val="00435E69"/>
    <w:rsid w:val="00437200"/>
    <w:rsid w:val="004379CD"/>
    <w:rsid w:val="00437F11"/>
    <w:rsid w:val="00440671"/>
    <w:rsid w:val="004418DF"/>
    <w:rsid w:val="00441A0E"/>
    <w:rsid w:val="004421B2"/>
    <w:rsid w:val="004423FA"/>
    <w:rsid w:val="00442771"/>
    <w:rsid w:val="00442CA0"/>
    <w:rsid w:val="004431CB"/>
    <w:rsid w:val="00443554"/>
    <w:rsid w:val="004436F4"/>
    <w:rsid w:val="00443A12"/>
    <w:rsid w:val="00444E7F"/>
    <w:rsid w:val="004456F3"/>
    <w:rsid w:val="00445A33"/>
    <w:rsid w:val="004464B5"/>
    <w:rsid w:val="00446E7D"/>
    <w:rsid w:val="00447722"/>
    <w:rsid w:val="00451746"/>
    <w:rsid w:val="0045215F"/>
    <w:rsid w:val="004521F7"/>
    <w:rsid w:val="00452BE4"/>
    <w:rsid w:val="0045358F"/>
    <w:rsid w:val="00453951"/>
    <w:rsid w:val="00453E51"/>
    <w:rsid w:val="00454102"/>
    <w:rsid w:val="00454678"/>
    <w:rsid w:val="0045471C"/>
    <w:rsid w:val="0045651F"/>
    <w:rsid w:val="00456562"/>
    <w:rsid w:val="004565C4"/>
    <w:rsid w:val="00456ABE"/>
    <w:rsid w:val="00456E0D"/>
    <w:rsid w:val="00456FF4"/>
    <w:rsid w:val="0045775F"/>
    <w:rsid w:val="004578B9"/>
    <w:rsid w:val="00457F82"/>
    <w:rsid w:val="00460281"/>
    <w:rsid w:val="0046048C"/>
    <w:rsid w:val="00461F0E"/>
    <w:rsid w:val="004629FE"/>
    <w:rsid w:val="00462D60"/>
    <w:rsid w:val="00462F72"/>
    <w:rsid w:val="0046395F"/>
    <w:rsid w:val="00463D31"/>
    <w:rsid w:val="004643C0"/>
    <w:rsid w:val="004650AC"/>
    <w:rsid w:val="004652D6"/>
    <w:rsid w:val="00465752"/>
    <w:rsid w:val="00465CBF"/>
    <w:rsid w:val="00467039"/>
    <w:rsid w:val="004675A5"/>
    <w:rsid w:val="0047039C"/>
    <w:rsid w:val="00470456"/>
    <w:rsid w:val="00472264"/>
    <w:rsid w:val="004725DD"/>
    <w:rsid w:val="00473EBC"/>
    <w:rsid w:val="0047513A"/>
    <w:rsid w:val="0047546C"/>
    <w:rsid w:val="00475589"/>
    <w:rsid w:val="00475E18"/>
    <w:rsid w:val="00475F04"/>
    <w:rsid w:val="00476675"/>
    <w:rsid w:val="00476CBA"/>
    <w:rsid w:val="00476D71"/>
    <w:rsid w:val="00480098"/>
    <w:rsid w:val="00480915"/>
    <w:rsid w:val="00480A2B"/>
    <w:rsid w:val="004812C9"/>
    <w:rsid w:val="0048135A"/>
    <w:rsid w:val="00482013"/>
    <w:rsid w:val="004839CC"/>
    <w:rsid w:val="00483AF6"/>
    <w:rsid w:val="00483E92"/>
    <w:rsid w:val="00484165"/>
    <w:rsid w:val="00484628"/>
    <w:rsid w:val="004859F6"/>
    <w:rsid w:val="00485ACE"/>
    <w:rsid w:val="004864E5"/>
    <w:rsid w:val="0048650D"/>
    <w:rsid w:val="00486EAF"/>
    <w:rsid w:val="004871E7"/>
    <w:rsid w:val="00487D8D"/>
    <w:rsid w:val="00490E45"/>
    <w:rsid w:val="00490F5F"/>
    <w:rsid w:val="004911BA"/>
    <w:rsid w:val="004913B2"/>
    <w:rsid w:val="00492A27"/>
    <w:rsid w:val="00492A7A"/>
    <w:rsid w:val="00493521"/>
    <w:rsid w:val="00493A0E"/>
    <w:rsid w:val="00493B15"/>
    <w:rsid w:val="00493C02"/>
    <w:rsid w:val="00493C1C"/>
    <w:rsid w:val="00493CE2"/>
    <w:rsid w:val="00493EFF"/>
    <w:rsid w:val="004952A2"/>
    <w:rsid w:val="004952CD"/>
    <w:rsid w:val="00495512"/>
    <w:rsid w:val="00497124"/>
    <w:rsid w:val="00497850"/>
    <w:rsid w:val="00497990"/>
    <w:rsid w:val="004A1ABF"/>
    <w:rsid w:val="004A1B09"/>
    <w:rsid w:val="004A1B7B"/>
    <w:rsid w:val="004A1C27"/>
    <w:rsid w:val="004A3F2A"/>
    <w:rsid w:val="004A4EEA"/>
    <w:rsid w:val="004A4F69"/>
    <w:rsid w:val="004A52FC"/>
    <w:rsid w:val="004A73C9"/>
    <w:rsid w:val="004A7A8D"/>
    <w:rsid w:val="004B01E1"/>
    <w:rsid w:val="004B129A"/>
    <w:rsid w:val="004B182C"/>
    <w:rsid w:val="004B1C56"/>
    <w:rsid w:val="004B1F37"/>
    <w:rsid w:val="004B283B"/>
    <w:rsid w:val="004B3692"/>
    <w:rsid w:val="004B4470"/>
    <w:rsid w:val="004B4C29"/>
    <w:rsid w:val="004B533C"/>
    <w:rsid w:val="004B634C"/>
    <w:rsid w:val="004B6925"/>
    <w:rsid w:val="004B6F4D"/>
    <w:rsid w:val="004B7166"/>
    <w:rsid w:val="004C03FD"/>
    <w:rsid w:val="004C0A47"/>
    <w:rsid w:val="004C0B2A"/>
    <w:rsid w:val="004C0B47"/>
    <w:rsid w:val="004C0C25"/>
    <w:rsid w:val="004C0E87"/>
    <w:rsid w:val="004C1B4F"/>
    <w:rsid w:val="004C1EAA"/>
    <w:rsid w:val="004C2104"/>
    <w:rsid w:val="004C2244"/>
    <w:rsid w:val="004C2438"/>
    <w:rsid w:val="004C2BDE"/>
    <w:rsid w:val="004C2EF0"/>
    <w:rsid w:val="004C33D5"/>
    <w:rsid w:val="004C359B"/>
    <w:rsid w:val="004C39DF"/>
    <w:rsid w:val="004C3CE1"/>
    <w:rsid w:val="004C3ED2"/>
    <w:rsid w:val="004C42C7"/>
    <w:rsid w:val="004C44AC"/>
    <w:rsid w:val="004C5746"/>
    <w:rsid w:val="004C626B"/>
    <w:rsid w:val="004C6450"/>
    <w:rsid w:val="004C6AF0"/>
    <w:rsid w:val="004C6EBA"/>
    <w:rsid w:val="004C7FB7"/>
    <w:rsid w:val="004D01A4"/>
    <w:rsid w:val="004D022B"/>
    <w:rsid w:val="004D0514"/>
    <w:rsid w:val="004D0982"/>
    <w:rsid w:val="004D0C76"/>
    <w:rsid w:val="004D1093"/>
    <w:rsid w:val="004D17AA"/>
    <w:rsid w:val="004D2562"/>
    <w:rsid w:val="004D3474"/>
    <w:rsid w:val="004D3B85"/>
    <w:rsid w:val="004D517F"/>
    <w:rsid w:val="004D563E"/>
    <w:rsid w:val="004D584B"/>
    <w:rsid w:val="004D589A"/>
    <w:rsid w:val="004D5CE8"/>
    <w:rsid w:val="004D5D25"/>
    <w:rsid w:val="004D6B22"/>
    <w:rsid w:val="004D7682"/>
    <w:rsid w:val="004D7703"/>
    <w:rsid w:val="004D7858"/>
    <w:rsid w:val="004D7A1C"/>
    <w:rsid w:val="004E0273"/>
    <w:rsid w:val="004E0501"/>
    <w:rsid w:val="004E0ADB"/>
    <w:rsid w:val="004E3C89"/>
    <w:rsid w:val="004E3F75"/>
    <w:rsid w:val="004E43D3"/>
    <w:rsid w:val="004E47C6"/>
    <w:rsid w:val="004E4B47"/>
    <w:rsid w:val="004E53B0"/>
    <w:rsid w:val="004E5592"/>
    <w:rsid w:val="004E60EE"/>
    <w:rsid w:val="004E6D3D"/>
    <w:rsid w:val="004E71F2"/>
    <w:rsid w:val="004E7E34"/>
    <w:rsid w:val="004F01AF"/>
    <w:rsid w:val="004F1CFD"/>
    <w:rsid w:val="004F1E92"/>
    <w:rsid w:val="004F22B3"/>
    <w:rsid w:val="004F246C"/>
    <w:rsid w:val="004F2C8C"/>
    <w:rsid w:val="004F3965"/>
    <w:rsid w:val="004F42A4"/>
    <w:rsid w:val="004F440E"/>
    <w:rsid w:val="004F5068"/>
    <w:rsid w:val="004F6430"/>
    <w:rsid w:val="004F6E7F"/>
    <w:rsid w:val="004F7447"/>
    <w:rsid w:val="00500D9E"/>
    <w:rsid w:val="00501B0C"/>
    <w:rsid w:val="00501BD4"/>
    <w:rsid w:val="00501CC8"/>
    <w:rsid w:val="00503D57"/>
    <w:rsid w:val="0050441A"/>
    <w:rsid w:val="00504637"/>
    <w:rsid w:val="005053E4"/>
    <w:rsid w:val="005077E2"/>
    <w:rsid w:val="00507EC7"/>
    <w:rsid w:val="00510384"/>
    <w:rsid w:val="005104FC"/>
    <w:rsid w:val="00510700"/>
    <w:rsid w:val="0051093A"/>
    <w:rsid w:val="00510980"/>
    <w:rsid w:val="00511729"/>
    <w:rsid w:val="0051200C"/>
    <w:rsid w:val="00513BB3"/>
    <w:rsid w:val="00513DA1"/>
    <w:rsid w:val="0051452B"/>
    <w:rsid w:val="0051497F"/>
    <w:rsid w:val="00514E4F"/>
    <w:rsid w:val="00515D97"/>
    <w:rsid w:val="005168F6"/>
    <w:rsid w:val="00516DD9"/>
    <w:rsid w:val="0051712C"/>
    <w:rsid w:val="005174F6"/>
    <w:rsid w:val="005177FF"/>
    <w:rsid w:val="00520C86"/>
    <w:rsid w:val="00521067"/>
    <w:rsid w:val="00522079"/>
    <w:rsid w:val="00522A70"/>
    <w:rsid w:val="00522CE9"/>
    <w:rsid w:val="00523F4A"/>
    <w:rsid w:val="005240EC"/>
    <w:rsid w:val="00524277"/>
    <w:rsid w:val="00524F90"/>
    <w:rsid w:val="005251E2"/>
    <w:rsid w:val="0052594C"/>
    <w:rsid w:val="00525A47"/>
    <w:rsid w:val="00525DCE"/>
    <w:rsid w:val="00525EF3"/>
    <w:rsid w:val="00526680"/>
    <w:rsid w:val="00526FCB"/>
    <w:rsid w:val="00527863"/>
    <w:rsid w:val="005301F4"/>
    <w:rsid w:val="00531412"/>
    <w:rsid w:val="005328BA"/>
    <w:rsid w:val="00532B51"/>
    <w:rsid w:val="0053313E"/>
    <w:rsid w:val="00534628"/>
    <w:rsid w:val="00534D2B"/>
    <w:rsid w:val="00535FD5"/>
    <w:rsid w:val="00536D3A"/>
    <w:rsid w:val="00537E17"/>
    <w:rsid w:val="00541160"/>
    <w:rsid w:val="0054131E"/>
    <w:rsid w:val="0054197C"/>
    <w:rsid w:val="0054209F"/>
    <w:rsid w:val="005425B2"/>
    <w:rsid w:val="005427CF"/>
    <w:rsid w:val="00542AB7"/>
    <w:rsid w:val="00543872"/>
    <w:rsid w:val="005438E3"/>
    <w:rsid w:val="00544D17"/>
    <w:rsid w:val="005453F8"/>
    <w:rsid w:val="005455AF"/>
    <w:rsid w:val="00545F4F"/>
    <w:rsid w:val="005460E4"/>
    <w:rsid w:val="00546ABC"/>
    <w:rsid w:val="00546ECB"/>
    <w:rsid w:val="00546F84"/>
    <w:rsid w:val="005472AF"/>
    <w:rsid w:val="005478C3"/>
    <w:rsid w:val="00547986"/>
    <w:rsid w:val="00547DB4"/>
    <w:rsid w:val="005517E6"/>
    <w:rsid w:val="00553589"/>
    <w:rsid w:val="005539F5"/>
    <w:rsid w:val="00554837"/>
    <w:rsid w:val="00554F55"/>
    <w:rsid w:val="00556633"/>
    <w:rsid w:val="00556D73"/>
    <w:rsid w:val="00556DF5"/>
    <w:rsid w:val="00556EDC"/>
    <w:rsid w:val="005577ED"/>
    <w:rsid w:val="005579D6"/>
    <w:rsid w:val="00560C97"/>
    <w:rsid w:val="0056187B"/>
    <w:rsid w:val="00562180"/>
    <w:rsid w:val="005632D2"/>
    <w:rsid w:val="005633C0"/>
    <w:rsid w:val="00563519"/>
    <w:rsid w:val="00563881"/>
    <w:rsid w:val="0056419A"/>
    <w:rsid w:val="005644E0"/>
    <w:rsid w:val="00564AE1"/>
    <w:rsid w:val="005651AD"/>
    <w:rsid w:val="00565664"/>
    <w:rsid w:val="005657C1"/>
    <w:rsid w:val="00565CAD"/>
    <w:rsid w:val="00565F0F"/>
    <w:rsid w:val="005670D6"/>
    <w:rsid w:val="0056785A"/>
    <w:rsid w:val="00570005"/>
    <w:rsid w:val="00570177"/>
    <w:rsid w:val="005705EB"/>
    <w:rsid w:val="00570616"/>
    <w:rsid w:val="00570F8C"/>
    <w:rsid w:val="0057119A"/>
    <w:rsid w:val="00571B0D"/>
    <w:rsid w:val="00571F92"/>
    <w:rsid w:val="005722DA"/>
    <w:rsid w:val="005726BC"/>
    <w:rsid w:val="00572CE1"/>
    <w:rsid w:val="00572FA4"/>
    <w:rsid w:val="00573B98"/>
    <w:rsid w:val="00574752"/>
    <w:rsid w:val="00574A0C"/>
    <w:rsid w:val="00575023"/>
    <w:rsid w:val="0057514D"/>
    <w:rsid w:val="005757F7"/>
    <w:rsid w:val="005759C9"/>
    <w:rsid w:val="00575B01"/>
    <w:rsid w:val="00575BE5"/>
    <w:rsid w:val="00575E0A"/>
    <w:rsid w:val="00576D10"/>
    <w:rsid w:val="0057731A"/>
    <w:rsid w:val="00577B5E"/>
    <w:rsid w:val="0058004A"/>
    <w:rsid w:val="005805E1"/>
    <w:rsid w:val="00580672"/>
    <w:rsid w:val="0058194D"/>
    <w:rsid w:val="0058278A"/>
    <w:rsid w:val="005836F5"/>
    <w:rsid w:val="0058379C"/>
    <w:rsid w:val="00583FA7"/>
    <w:rsid w:val="005848EE"/>
    <w:rsid w:val="00584AA6"/>
    <w:rsid w:val="00584BDF"/>
    <w:rsid w:val="0058572A"/>
    <w:rsid w:val="0058593E"/>
    <w:rsid w:val="00585B05"/>
    <w:rsid w:val="005860D6"/>
    <w:rsid w:val="005864C2"/>
    <w:rsid w:val="005873C9"/>
    <w:rsid w:val="00587948"/>
    <w:rsid w:val="005879EF"/>
    <w:rsid w:val="005903AB"/>
    <w:rsid w:val="005910E9"/>
    <w:rsid w:val="00591211"/>
    <w:rsid w:val="00591887"/>
    <w:rsid w:val="00591EA7"/>
    <w:rsid w:val="00591FC5"/>
    <w:rsid w:val="005924B6"/>
    <w:rsid w:val="00592815"/>
    <w:rsid w:val="005934B8"/>
    <w:rsid w:val="005941AC"/>
    <w:rsid w:val="0059441F"/>
    <w:rsid w:val="00594DD5"/>
    <w:rsid w:val="00595440"/>
    <w:rsid w:val="00595525"/>
    <w:rsid w:val="0059607B"/>
    <w:rsid w:val="005963FC"/>
    <w:rsid w:val="00597370"/>
    <w:rsid w:val="005975F0"/>
    <w:rsid w:val="005A0637"/>
    <w:rsid w:val="005A0818"/>
    <w:rsid w:val="005A0F42"/>
    <w:rsid w:val="005A1CA9"/>
    <w:rsid w:val="005A1DEB"/>
    <w:rsid w:val="005A331D"/>
    <w:rsid w:val="005A37D3"/>
    <w:rsid w:val="005A4563"/>
    <w:rsid w:val="005A49F0"/>
    <w:rsid w:val="005A50D7"/>
    <w:rsid w:val="005A6A25"/>
    <w:rsid w:val="005A6B37"/>
    <w:rsid w:val="005A6C3E"/>
    <w:rsid w:val="005A7C83"/>
    <w:rsid w:val="005B089B"/>
    <w:rsid w:val="005B0A20"/>
    <w:rsid w:val="005B349D"/>
    <w:rsid w:val="005B3F10"/>
    <w:rsid w:val="005B4370"/>
    <w:rsid w:val="005B4535"/>
    <w:rsid w:val="005B4D12"/>
    <w:rsid w:val="005B4EF5"/>
    <w:rsid w:val="005B555E"/>
    <w:rsid w:val="005B62F6"/>
    <w:rsid w:val="005B7A9F"/>
    <w:rsid w:val="005B7CA5"/>
    <w:rsid w:val="005B7D99"/>
    <w:rsid w:val="005C013B"/>
    <w:rsid w:val="005C053F"/>
    <w:rsid w:val="005C087A"/>
    <w:rsid w:val="005C09F7"/>
    <w:rsid w:val="005C1449"/>
    <w:rsid w:val="005C1629"/>
    <w:rsid w:val="005C2443"/>
    <w:rsid w:val="005C2C5E"/>
    <w:rsid w:val="005C313C"/>
    <w:rsid w:val="005C37EC"/>
    <w:rsid w:val="005C3B32"/>
    <w:rsid w:val="005C415B"/>
    <w:rsid w:val="005C4715"/>
    <w:rsid w:val="005C494E"/>
    <w:rsid w:val="005C4A9B"/>
    <w:rsid w:val="005C4B84"/>
    <w:rsid w:val="005C5FC6"/>
    <w:rsid w:val="005C61F2"/>
    <w:rsid w:val="005C68B2"/>
    <w:rsid w:val="005C7472"/>
    <w:rsid w:val="005C7562"/>
    <w:rsid w:val="005C7BDC"/>
    <w:rsid w:val="005C7E29"/>
    <w:rsid w:val="005D05BA"/>
    <w:rsid w:val="005D0B9C"/>
    <w:rsid w:val="005D1369"/>
    <w:rsid w:val="005D15DC"/>
    <w:rsid w:val="005D1F23"/>
    <w:rsid w:val="005D213C"/>
    <w:rsid w:val="005D39C8"/>
    <w:rsid w:val="005D4A41"/>
    <w:rsid w:val="005D4FB2"/>
    <w:rsid w:val="005D6232"/>
    <w:rsid w:val="005D65F6"/>
    <w:rsid w:val="005D6A61"/>
    <w:rsid w:val="005D6A8B"/>
    <w:rsid w:val="005D6D07"/>
    <w:rsid w:val="005D767F"/>
    <w:rsid w:val="005D7838"/>
    <w:rsid w:val="005D79EB"/>
    <w:rsid w:val="005D7D1D"/>
    <w:rsid w:val="005E0461"/>
    <w:rsid w:val="005E0895"/>
    <w:rsid w:val="005E093B"/>
    <w:rsid w:val="005E1C77"/>
    <w:rsid w:val="005E2035"/>
    <w:rsid w:val="005E22DD"/>
    <w:rsid w:val="005E23A8"/>
    <w:rsid w:val="005E2874"/>
    <w:rsid w:val="005E31DD"/>
    <w:rsid w:val="005E33D0"/>
    <w:rsid w:val="005E3652"/>
    <w:rsid w:val="005E4056"/>
    <w:rsid w:val="005E4359"/>
    <w:rsid w:val="005E465F"/>
    <w:rsid w:val="005E51A7"/>
    <w:rsid w:val="005E5221"/>
    <w:rsid w:val="005E55CA"/>
    <w:rsid w:val="005E5A0D"/>
    <w:rsid w:val="005E6994"/>
    <w:rsid w:val="005E6BDF"/>
    <w:rsid w:val="005E6C85"/>
    <w:rsid w:val="005E7B0F"/>
    <w:rsid w:val="005E7D25"/>
    <w:rsid w:val="005E7E6E"/>
    <w:rsid w:val="005F048F"/>
    <w:rsid w:val="005F0A4A"/>
    <w:rsid w:val="005F0BD6"/>
    <w:rsid w:val="005F119D"/>
    <w:rsid w:val="005F162F"/>
    <w:rsid w:val="005F178A"/>
    <w:rsid w:val="005F2116"/>
    <w:rsid w:val="005F27B0"/>
    <w:rsid w:val="005F29B4"/>
    <w:rsid w:val="005F29DD"/>
    <w:rsid w:val="005F2A5C"/>
    <w:rsid w:val="005F2CE7"/>
    <w:rsid w:val="005F30F4"/>
    <w:rsid w:val="005F3355"/>
    <w:rsid w:val="005F3947"/>
    <w:rsid w:val="005F41AB"/>
    <w:rsid w:val="005F466E"/>
    <w:rsid w:val="005F5342"/>
    <w:rsid w:val="005F665C"/>
    <w:rsid w:val="005F72A3"/>
    <w:rsid w:val="00600A65"/>
    <w:rsid w:val="006011D0"/>
    <w:rsid w:val="006013FF"/>
    <w:rsid w:val="00602053"/>
    <w:rsid w:val="0060278B"/>
    <w:rsid w:val="00603144"/>
    <w:rsid w:val="006044BD"/>
    <w:rsid w:val="00605FE0"/>
    <w:rsid w:val="006060D1"/>
    <w:rsid w:val="0060650E"/>
    <w:rsid w:val="00606998"/>
    <w:rsid w:val="00606ADB"/>
    <w:rsid w:val="00606E70"/>
    <w:rsid w:val="006074C1"/>
    <w:rsid w:val="00607875"/>
    <w:rsid w:val="00607F2F"/>
    <w:rsid w:val="00610465"/>
    <w:rsid w:val="00610524"/>
    <w:rsid w:val="00611011"/>
    <w:rsid w:val="00611271"/>
    <w:rsid w:val="0061155E"/>
    <w:rsid w:val="00611673"/>
    <w:rsid w:val="006126E2"/>
    <w:rsid w:val="00612C35"/>
    <w:rsid w:val="006131CD"/>
    <w:rsid w:val="0061339B"/>
    <w:rsid w:val="0061349A"/>
    <w:rsid w:val="00613BB4"/>
    <w:rsid w:val="00613E19"/>
    <w:rsid w:val="0061409D"/>
    <w:rsid w:val="006147B0"/>
    <w:rsid w:val="00614B2E"/>
    <w:rsid w:val="00614E10"/>
    <w:rsid w:val="00615E44"/>
    <w:rsid w:val="00616423"/>
    <w:rsid w:val="006166DB"/>
    <w:rsid w:val="006168DF"/>
    <w:rsid w:val="00616EB8"/>
    <w:rsid w:val="00620F58"/>
    <w:rsid w:val="006217E4"/>
    <w:rsid w:val="00621CE9"/>
    <w:rsid w:val="00622136"/>
    <w:rsid w:val="00622B0A"/>
    <w:rsid w:val="00622DB7"/>
    <w:rsid w:val="00622DDB"/>
    <w:rsid w:val="00622DDC"/>
    <w:rsid w:val="00623351"/>
    <w:rsid w:val="006233C6"/>
    <w:rsid w:val="00623B25"/>
    <w:rsid w:val="00624538"/>
    <w:rsid w:val="00624F14"/>
    <w:rsid w:val="006265B7"/>
    <w:rsid w:val="0062751B"/>
    <w:rsid w:val="00627ABA"/>
    <w:rsid w:val="00627E5C"/>
    <w:rsid w:val="006304E8"/>
    <w:rsid w:val="00630D89"/>
    <w:rsid w:val="00632ED0"/>
    <w:rsid w:val="00632FB7"/>
    <w:rsid w:val="006338FE"/>
    <w:rsid w:val="00633E63"/>
    <w:rsid w:val="00634672"/>
    <w:rsid w:val="00634983"/>
    <w:rsid w:val="00634DC8"/>
    <w:rsid w:val="0063534A"/>
    <w:rsid w:val="00635B19"/>
    <w:rsid w:val="0063632B"/>
    <w:rsid w:val="006368EF"/>
    <w:rsid w:val="0063691D"/>
    <w:rsid w:val="00636A39"/>
    <w:rsid w:val="00637AAB"/>
    <w:rsid w:val="00637AE9"/>
    <w:rsid w:val="00637C49"/>
    <w:rsid w:val="00637FFE"/>
    <w:rsid w:val="006402DE"/>
    <w:rsid w:val="006408B9"/>
    <w:rsid w:val="00642117"/>
    <w:rsid w:val="00642A45"/>
    <w:rsid w:val="0064362C"/>
    <w:rsid w:val="00643BF8"/>
    <w:rsid w:val="00643D59"/>
    <w:rsid w:val="006441EC"/>
    <w:rsid w:val="0064446A"/>
    <w:rsid w:val="0064543F"/>
    <w:rsid w:val="006461D2"/>
    <w:rsid w:val="00646318"/>
    <w:rsid w:val="00647252"/>
    <w:rsid w:val="00650A2E"/>
    <w:rsid w:val="00650ECA"/>
    <w:rsid w:val="00651D76"/>
    <w:rsid w:val="00652B5B"/>
    <w:rsid w:val="00652FEA"/>
    <w:rsid w:val="0065345D"/>
    <w:rsid w:val="00654ABD"/>
    <w:rsid w:val="00656A28"/>
    <w:rsid w:val="00657135"/>
    <w:rsid w:val="00657976"/>
    <w:rsid w:val="00657DE0"/>
    <w:rsid w:val="00660082"/>
    <w:rsid w:val="00660867"/>
    <w:rsid w:val="00660D4D"/>
    <w:rsid w:val="006631E9"/>
    <w:rsid w:val="00663AD1"/>
    <w:rsid w:val="00663EDD"/>
    <w:rsid w:val="0066411C"/>
    <w:rsid w:val="006642F8"/>
    <w:rsid w:val="00664635"/>
    <w:rsid w:val="00665312"/>
    <w:rsid w:val="00665956"/>
    <w:rsid w:val="00665D6C"/>
    <w:rsid w:val="006668A9"/>
    <w:rsid w:val="006669DA"/>
    <w:rsid w:val="00666C08"/>
    <w:rsid w:val="006671FD"/>
    <w:rsid w:val="00667DC4"/>
    <w:rsid w:val="006703D8"/>
    <w:rsid w:val="00670E16"/>
    <w:rsid w:val="0067113A"/>
    <w:rsid w:val="0067124C"/>
    <w:rsid w:val="0067136B"/>
    <w:rsid w:val="00671650"/>
    <w:rsid w:val="00671AE9"/>
    <w:rsid w:val="00672540"/>
    <w:rsid w:val="00672903"/>
    <w:rsid w:val="00672ACE"/>
    <w:rsid w:val="0067305E"/>
    <w:rsid w:val="006730D9"/>
    <w:rsid w:val="00673BB0"/>
    <w:rsid w:val="00673FF0"/>
    <w:rsid w:val="00674D50"/>
    <w:rsid w:val="00674F2B"/>
    <w:rsid w:val="00675056"/>
    <w:rsid w:val="0067576E"/>
    <w:rsid w:val="00676796"/>
    <w:rsid w:val="00676E37"/>
    <w:rsid w:val="0067735B"/>
    <w:rsid w:val="00677ACB"/>
    <w:rsid w:val="00681224"/>
    <w:rsid w:val="006812A8"/>
    <w:rsid w:val="0068273E"/>
    <w:rsid w:val="00682A4E"/>
    <w:rsid w:val="0068318B"/>
    <w:rsid w:val="006835A7"/>
    <w:rsid w:val="00683917"/>
    <w:rsid w:val="006844F7"/>
    <w:rsid w:val="006847E1"/>
    <w:rsid w:val="00685FCF"/>
    <w:rsid w:val="006864D2"/>
    <w:rsid w:val="00686B13"/>
    <w:rsid w:val="00686E7D"/>
    <w:rsid w:val="00686EBA"/>
    <w:rsid w:val="00686ED4"/>
    <w:rsid w:val="00686F78"/>
    <w:rsid w:val="00687223"/>
    <w:rsid w:val="00690CCF"/>
    <w:rsid w:val="00690F49"/>
    <w:rsid w:val="00691E88"/>
    <w:rsid w:val="0069216E"/>
    <w:rsid w:val="00692691"/>
    <w:rsid w:val="00692725"/>
    <w:rsid w:val="00692BB2"/>
    <w:rsid w:val="00692D34"/>
    <w:rsid w:val="0069354A"/>
    <w:rsid w:val="006937F3"/>
    <w:rsid w:val="00694AD4"/>
    <w:rsid w:val="00694F6D"/>
    <w:rsid w:val="006956F5"/>
    <w:rsid w:val="006958AD"/>
    <w:rsid w:val="00696262"/>
    <w:rsid w:val="0069681D"/>
    <w:rsid w:val="00697344"/>
    <w:rsid w:val="0069767D"/>
    <w:rsid w:val="00697EBE"/>
    <w:rsid w:val="006A0CE1"/>
    <w:rsid w:val="006A1393"/>
    <w:rsid w:val="006A3063"/>
    <w:rsid w:val="006A30D6"/>
    <w:rsid w:val="006A35B8"/>
    <w:rsid w:val="006A3BD7"/>
    <w:rsid w:val="006A41B2"/>
    <w:rsid w:val="006A4730"/>
    <w:rsid w:val="006A4848"/>
    <w:rsid w:val="006A4B1E"/>
    <w:rsid w:val="006A534B"/>
    <w:rsid w:val="006A5830"/>
    <w:rsid w:val="006A5A8F"/>
    <w:rsid w:val="006A6DDA"/>
    <w:rsid w:val="006A729C"/>
    <w:rsid w:val="006A7739"/>
    <w:rsid w:val="006A7AEF"/>
    <w:rsid w:val="006B0E98"/>
    <w:rsid w:val="006B1508"/>
    <w:rsid w:val="006B1549"/>
    <w:rsid w:val="006B1B34"/>
    <w:rsid w:val="006B2069"/>
    <w:rsid w:val="006B283C"/>
    <w:rsid w:val="006B2A2C"/>
    <w:rsid w:val="006B2D98"/>
    <w:rsid w:val="006B3AA6"/>
    <w:rsid w:val="006B4300"/>
    <w:rsid w:val="006B457F"/>
    <w:rsid w:val="006B50F0"/>
    <w:rsid w:val="006B5255"/>
    <w:rsid w:val="006B53DA"/>
    <w:rsid w:val="006B54FF"/>
    <w:rsid w:val="006B55F5"/>
    <w:rsid w:val="006B5B93"/>
    <w:rsid w:val="006B5C58"/>
    <w:rsid w:val="006B69F4"/>
    <w:rsid w:val="006B7286"/>
    <w:rsid w:val="006B72AC"/>
    <w:rsid w:val="006B7581"/>
    <w:rsid w:val="006B79CF"/>
    <w:rsid w:val="006C0ECF"/>
    <w:rsid w:val="006C15F8"/>
    <w:rsid w:val="006C33AD"/>
    <w:rsid w:val="006C45DC"/>
    <w:rsid w:val="006C4E24"/>
    <w:rsid w:val="006C571C"/>
    <w:rsid w:val="006C5A0E"/>
    <w:rsid w:val="006C5A70"/>
    <w:rsid w:val="006C65E4"/>
    <w:rsid w:val="006C7273"/>
    <w:rsid w:val="006C783D"/>
    <w:rsid w:val="006D2E21"/>
    <w:rsid w:val="006D326E"/>
    <w:rsid w:val="006D341C"/>
    <w:rsid w:val="006D372C"/>
    <w:rsid w:val="006D40EB"/>
    <w:rsid w:val="006D4431"/>
    <w:rsid w:val="006D4464"/>
    <w:rsid w:val="006D5DD7"/>
    <w:rsid w:val="006D61B0"/>
    <w:rsid w:val="006D6F3E"/>
    <w:rsid w:val="006D7942"/>
    <w:rsid w:val="006D7BFA"/>
    <w:rsid w:val="006E000E"/>
    <w:rsid w:val="006E00DA"/>
    <w:rsid w:val="006E01AD"/>
    <w:rsid w:val="006E1194"/>
    <w:rsid w:val="006E1A2B"/>
    <w:rsid w:val="006E2146"/>
    <w:rsid w:val="006E28AF"/>
    <w:rsid w:val="006E356D"/>
    <w:rsid w:val="006E35F5"/>
    <w:rsid w:val="006E45D1"/>
    <w:rsid w:val="006E46F0"/>
    <w:rsid w:val="006E4B29"/>
    <w:rsid w:val="006E4C0B"/>
    <w:rsid w:val="006E4D0B"/>
    <w:rsid w:val="006E52E1"/>
    <w:rsid w:val="006E5317"/>
    <w:rsid w:val="006E5538"/>
    <w:rsid w:val="006E5CE3"/>
    <w:rsid w:val="006E6976"/>
    <w:rsid w:val="006E7217"/>
    <w:rsid w:val="006E7C46"/>
    <w:rsid w:val="006F16A5"/>
    <w:rsid w:val="006F195F"/>
    <w:rsid w:val="006F1FEF"/>
    <w:rsid w:val="006F2102"/>
    <w:rsid w:val="006F27C1"/>
    <w:rsid w:val="006F2DAF"/>
    <w:rsid w:val="006F41B4"/>
    <w:rsid w:val="006F4413"/>
    <w:rsid w:val="006F4925"/>
    <w:rsid w:val="006F4A47"/>
    <w:rsid w:val="006F5E77"/>
    <w:rsid w:val="00700E1E"/>
    <w:rsid w:val="0070126F"/>
    <w:rsid w:val="00701F75"/>
    <w:rsid w:val="007029D7"/>
    <w:rsid w:val="00702DD7"/>
    <w:rsid w:val="00703964"/>
    <w:rsid w:val="007039ED"/>
    <w:rsid w:val="00703F48"/>
    <w:rsid w:val="0070448C"/>
    <w:rsid w:val="00704FB4"/>
    <w:rsid w:val="00706B10"/>
    <w:rsid w:val="0070768D"/>
    <w:rsid w:val="007077FE"/>
    <w:rsid w:val="00707C00"/>
    <w:rsid w:val="0071003E"/>
    <w:rsid w:val="007100EA"/>
    <w:rsid w:val="0071025C"/>
    <w:rsid w:val="00710A7B"/>
    <w:rsid w:val="00710B6D"/>
    <w:rsid w:val="007118A7"/>
    <w:rsid w:val="00711CC0"/>
    <w:rsid w:val="0071259F"/>
    <w:rsid w:val="007139AC"/>
    <w:rsid w:val="00715167"/>
    <w:rsid w:val="007155DC"/>
    <w:rsid w:val="00715DE9"/>
    <w:rsid w:val="00716131"/>
    <w:rsid w:val="00716562"/>
    <w:rsid w:val="00716C1B"/>
    <w:rsid w:val="00717D92"/>
    <w:rsid w:val="007214F0"/>
    <w:rsid w:val="00721AA9"/>
    <w:rsid w:val="0072208B"/>
    <w:rsid w:val="007224EB"/>
    <w:rsid w:val="007226CA"/>
    <w:rsid w:val="00722A1E"/>
    <w:rsid w:val="00723787"/>
    <w:rsid w:val="00723AA0"/>
    <w:rsid w:val="00723CC8"/>
    <w:rsid w:val="00724CCF"/>
    <w:rsid w:val="00724D79"/>
    <w:rsid w:val="0072500D"/>
    <w:rsid w:val="0072508B"/>
    <w:rsid w:val="007251E0"/>
    <w:rsid w:val="0072611E"/>
    <w:rsid w:val="007261B6"/>
    <w:rsid w:val="00726C78"/>
    <w:rsid w:val="00726C90"/>
    <w:rsid w:val="00726D3C"/>
    <w:rsid w:val="00726EB4"/>
    <w:rsid w:val="0072760C"/>
    <w:rsid w:val="007307E6"/>
    <w:rsid w:val="0073090C"/>
    <w:rsid w:val="007313C7"/>
    <w:rsid w:val="00731FE5"/>
    <w:rsid w:val="00732418"/>
    <w:rsid w:val="0073254C"/>
    <w:rsid w:val="00732BBD"/>
    <w:rsid w:val="00732DDD"/>
    <w:rsid w:val="0073339E"/>
    <w:rsid w:val="007336E6"/>
    <w:rsid w:val="00733D93"/>
    <w:rsid w:val="00733F9A"/>
    <w:rsid w:val="00733FCE"/>
    <w:rsid w:val="0073429A"/>
    <w:rsid w:val="007342B0"/>
    <w:rsid w:val="007347CE"/>
    <w:rsid w:val="0073539F"/>
    <w:rsid w:val="007359FE"/>
    <w:rsid w:val="0073652F"/>
    <w:rsid w:val="00736558"/>
    <w:rsid w:val="0073655E"/>
    <w:rsid w:val="00736947"/>
    <w:rsid w:val="00736E61"/>
    <w:rsid w:val="00736F65"/>
    <w:rsid w:val="00737974"/>
    <w:rsid w:val="007405DE"/>
    <w:rsid w:val="007418E7"/>
    <w:rsid w:val="007420DE"/>
    <w:rsid w:val="0074222A"/>
    <w:rsid w:val="007426E4"/>
    <w:rsid w:val="00742918"/>
    <w:rsid w:val="00742AC3"/>
    <w:rsid w:val="00742B4A"/>
    <w:rsid w:val="00742C30"/>
    <w:rsid w:val="00743034"/>
    <w:rsid w:val="00743320"/>
    <w:rsid w:val="0074440F"/>
    <w:rsid w:val="007448BA"/>
    <w:rsid w:val="00744AC4"/>
    <w:rsid w:val="00745D22"/>
    <w:rsid w:val="0074688A"/>
    <w:rsid w:val="00746B07"/>
    <w:rsid w:val="00746CD5"/>
    <w:rsid w:val="007471D2"/>
    <w:rsid w:val="00747489"/>
    <w:rsid w:val="00750EA8"/>
    <w:rsid w:val="0075180D"/>
    <w:rsid w:val="0075272B"/>
    <w:rsid w:val="00753467"/>
    <w:rsid w:val="007538B0"/>
    <w:rsid w:val="00753BA1"/>
    <w:rsid w:val="00753EE7"/>
    <w:rsid w:val="00753EE8"/>
    <w:rsid w:val="00755261"/>
    <w:rsid w:val="007561BA"/>
    <w:rsid w:val="00756590"/>
    <w:rsid w:val="00757245"/>
    <w:rsid w:val="00757764"/>
    <w:rsid w:val="0075797F"/>
    <w:rsid w:val="00757992"/>
    <w:rsid w:val="00760C4A"/>
    <w:rsid w:val="007610FB"/>
    <w:rsid w:val="00761372"/>
    <w:rsid w:val="0076347A"/>
    <w:rsid w:val="0076356F"/>
    <w:rsid w:val="007638CB"/>
    <w:rsid w:val="007639B6"/>
    <w:rsid w:val="00764B1F"/>
    <w:rsid w:val="00764EE3"/>
    <w:rsid w:val="007662DD"/>
    <w:rsid w:val="007667F4"/>
    <w:rsid w:val="00766CCF"/>
    <w:rsid w:val="00767181"/>
    <w:rsid w:val="00767386"/>
    <w:rsid w:val="007676F5"/>
    <w:rsid w:val="00767941"/>
    <w:rsid w:val="0077080B"/>
    <w:rsid w:val="007709A5"/>
    <w:rsid w:val="00771BC9"/>
    <w:rsid w:val="0077251D"/>
    <w:rsid w:val="007732D2"/>
    <w:rsid w:val="007733BA"/>
    <w:rsid w:val="007738A8"/>
    <w:rsid w:val="0077430D"/>
    <w:rsid w:val="007744A7"/>
    <w:rsid w:val="0077465B"/>
    <w:rsid w:val="00774EB7"/>
    <w:rsid w:val="0077520B"/>
    <w:rsid w:val="00775CB7"/>
    <w:rsid w:val="0077606B"/>
    <w:rsid w:val="0077610D"/>
    <w:rsid w:val="00776752"/>
    <w:rsid w:val="00776BBA"/>
    <w:rsid w:val="00776BC1"/>
    <w:rsid w:val="00780987"/>
    <w:rsid w:val="00781564"/>
    <w:rsid w:val="0078168E"/>
    <w:rsid w:val="0078171C"/>
    <w:rsid w:val="00781E18"/>
    <w:rsid w:val="00781FF3"/>
    <w:rsid w:val="007831C9"/>
    <w:rsid w:val="0078371A"/>
    <w:rsid w:val="00783D13"/>
    <w:rsid w:val="00783DD9"/>
    <w:rsid w:val="00784E7F"/>
    <w:rsid w:val="0078630B"/>
    <w:rsid w:val="0078634C"/>
    <w:rsid w:val="007864F8"/>
    <w:rsid w:val="007867CF"/>
    <w:rsid w:val="00787735"/>
    <w:rsid w:val="0078778B"/>
    <w:rsid w:val="00787BC7"/>
    <w:rsid w:val="00787BE6"/>
    <w:rsid w:val="00787C9A"/>
    <w:rsid w:val="007904FC"/>
    <w:rsid w:val="00791354"/>
    <w:rsid w:val="00791537"/>
    <w:rsid w:val="00791686"/>
    <w:rsid w:val="00791DBB"/>
    <w:rsid w:val="0079263A"/>
    <w:rsid w:val="007928B5"/>
    <w:rsid w:val="00793F1B"/>
    <w:rsid w:val="00796E4D"/>
    <w:rsid w:val="007A0954"/>
    <w:rsid w:val="007A17D1"/>
    <w:rsid w:val="007A1AB8"/>
    <w:rsid w:val="007A3376"/>
    <w:rsid w:val="007A3B22"/>
    <w:rsid w:val="007A3BE1"/>
    <w:rsid w:val="007A3E01"/>
    <w:rsid w:val="007A43DA"/>
    <w:rsid w:val="007A530D"/>
    <w:rsid w:val="007A5395"/>
    <w:rsid w:val="007A5412"/>
    <w:rsid w:val="007A5C5A"/>
    <w:rsid w:val="007A5C87"/>
    <w:rsid w:val="007A6401"/>
    <w:rsid w:val="007A75CF"/>
    <w:rsid w:val="007A76B1"/>
    <w:rsid w:val="007A7E66"/>
    <w:rsid w:val="007B030A"/>
    <w:rsid w:val="007B06C0"/>
    <w:rsid w:val="007B0996"/>
    <w:rsid w:val="007B11D9"/>
    <w:rsid w:val="007B1243"/>
    <w:rsid w:val="007B1377"/>
    <w:rsid w:val="007B17AE"/>
    <w:rsid w:val="007B1B7D"/>
    <w:rsid w:val="007B1D09"/>
    <w:rsid w:val="007B3517"/>
    <w:rsid w:val="007B3D2C"/>
    <w:rsid w:val="007B3D9C"/>
    <w:rsid w:val="007B4071"/>
    <w:rsid w:val="007B4AFA"/>
    <w:rsid w:val="007B55FE"/>
    <w:rsid w:val="007B58EF"/>
    <w:rsid w:val="007B597E"/>
    <w:rsid w:val="007B5C5C"/>
    <w:rsid w:val="007B5E12"/>
    <w:rsid w:val="007B68C4"/>
    <w:rsid w:val="007B75AE"/>
    <w:rsid w:val="007B7AD7"/>
    <w:rsid w:val="007C0B4B"/>
    <w:rsid w:val="007C1746"/>
    <w:rsid w:val="007C1C7E"/>
    <w:rsid w:val="007C2471"/>
    <w:rsid w:val="007C2BF6"/>
    <w:rsid w:val="007C3716"/>
    <w:rsid w:val="007C3D26"/>
    <w:rsid w:val="007C3EBC"/>
    <w:rsid w:val="007C4C8B"/>
    <w:rsid w:val="007C4D05"/>
    <w:rsid w:val="007C5200"/>
    <w:rsid w:val="007C5310"/>
    <w:rsid w:val="007C5A0B"/>
    <w:rsid w:val="007C611C"/>
    <w:rsid w:val="007C64DE"/>
    <w:rsid w:val="007C66F0"/>
    <w:rsid w:val="007C68D8"/>
    <w:rsid w:val="007C70EA"/>
    <w:rsid w:val="007C70F0"/>
    <w:rsid w:val="007C72B4"/>
    <w:rsid w:val="007C7E24"/>
    <w:rsid w:val="007D03D5"/>
    <w:rsid w:val="007D03EC"/>
    <w:rsid w:val="007D1E0B"/>
    <w:rsid w:val="007D208B"/>
    <w:rsid w:val="007D2B94"/>
    <w:rsid w:val="007D2BF8"/>
    <w:rsid w:val="007D2C0C"/>
    <w:rsid w:val="007D3049"/>
    <w:rsid w:val="007D315D"/>
    <w:rsid w:val="007D38B5"/>
    <w:rsid w:val="007D3D86"/>
    <w:rsid w:val="007D408F"/>
    <w:rsid w:val="007D43A7"/>
    <w:rsid w:val="007D4C13"/>
    <w:rsid w:val="007D4E41"/>
    <w:rsid w:val="007D508A"/>
    <w:rsid w:val="007D5BD9"/>
    <w:rsid w:val="007D650F"/>
    <w:rsid w:val="007D7104"/>
    <w:rsid w:val="007D797D"/>
    <w:rsid w:val="007D7DAB"/>
    <w:rsid w:val="007E0B39"/>
    <w:rsid w:val="007E0C5F"/>
    <w:rsid w:val="007E0D70"/>
    <w:rsid w:val="007E14DC"/>
    <w:rsid w:val="007E1D4B"/>
    <w:rsid w:val="007E20DA"/>
    <w:rsid w:val="007E32DD"/>
    <w:rsid w:val="007E33A2"/>
    <w:rsid w:val="007E34B6"/>
    <w:rsid w:val="007E39B1"/>
    <w:rsid w:val="007E4024"/>
    <w:rsid w:val="007E50F2"/>
    <w:rsid w:val="007E56C6"/>
    <w:rsid w:val="007E5D52"/>
    <w:rsid w:val="007E5DD7"/>
    <w:rsid w:val="007E7E96"/>
    <w:rsid w:val="007E7FC7"/>
    <w:rsid w:val="007F07D9"/>
    <w:rsid w:val="007F0EA3"/>
    <w:rsid w:val="007F19E8"/>
    <w:rsid w:val="007F1A32"/>
    <w:rsid w:val="007F1CFD"/>
    <w:rsid w:val="007F1D8C"/>
    <w:rsid w:val="007F21ED"/>
    <w:rsid w:val="007F2679"/>
    <w:rsid w:val="007F37BC"/>
    <w:rsid w:val="007F3DFF"/>
    <w:rsid w:val="007F4F3A"/>
    <w:rsid w:val="007F573C"/>
    <w:rsid w:val="007F6186"/>
    <w:rsid w:val="007F76E9"/>
    <w:rsid w:val="00800719"/>
    <w:rsid w:val="0080084B"/>
    <w:rsid w:val="008008D6"/>
    <w:rsid w:val="00800AB5"/>
    <w:rsid w:val="00800D8F"/>
    <w:rsid w:val="00801289"/>
    <w:rsid w:val="0080183C"/>
    <w:rsid w:val="0080217C"/>
    <w:rsid w:val="008025D3"/>
    <w:rsid w:val="00802949"/>
    <w:rsid w:val="00802C57"/>
    <w:rsid w:val="00803FCB"/>
    <w:rsid w:val="008047E2"/>
    <w:rsid w:val="00804C14"/>
    <w:rsid w:val="00804DCF"/>
    <w:rsid w:val="008060D3"/>
    <w:rsid w:val="00806331"/>
    <w:rsid w:val="00806535"/>
    <w:rsid w:val="008069FA"/>
    <w:rsid w:val="00807AAD"/>
    <w:rsid w:val="00807BA9"/>
    <w:rsid w:val="00807D66"/>
    <w:rsid w:val="00810120"/>
    <w:rsid w:val="00810900"/>
    <w:rsid w:val="00810DEB"/>
    <w:rsid w:val="00810E88"/>
    <w:rsid w:val="008113EE"/>
    <w:rsid w:val="00812577"/>
    <w:rsid w:val="00812F38"/>
    <w:rsid w:val="00813955"/>
    <w:rsid w:val="00813E1A"/>
    <w:rsid w:val="008160DD"/>
    <w:rsid w:val="00816320"/>
    <w:rsid w:val="00816B61"/>
    <w:rsid w:val="008172E0"/>
    <w:rsid w:val="00817941"/>
    <w:rsid w:val="00817AF6"/>
    <w:rsid w:val="008200CA"/>
    <w:rsid w:val="00820252"/>
    <w:rsid w:val="0082049E"/>
    <w:rsid w:val="0082068A"/>
    <w:rsid w:val="008208D5"/>
    <w:rsid w:val="00820F76"/>
    <w:rsid w:val="00821399"/>
    <w:rsid w:val="008218FD"/>
    <w:rsid w:val="00821A26"/>
    <w:rsid w:val="00821D53"/>
    <w:rsid w:val="00821F5F"/>
    <w:rsid w:val="00822382"/>
    <w:rsid w:val="0082313A"/>
    <w:rsid w:val="008248FB"/>
    <w:rsid w:val="00824CD9"/>
    <w:rsid w:val="008259E2"/>
    <w:rsid w:val="00826252"/>
    <w:rsid w:val="008262BB"/>
    <w:rsid w:val="00826AE2"/>
    <w:rsid w:val="008272C1"/>
    <w:rsid w:val="00827315"/>
    <w:rsid w:val="0082762D"/>
    <w:rsid w:val="00830393"/>
    <w:rsid w:val="008307C1"/>
    <w:rsid w:val="008308C7"/>
    <w:rsid w:val="00831287"/>
    <w:rsid w:val="008315E3"/>
    <w:rsid w:val="008333AC"/>
    <w:rsid w:val="00834785"/>
    <w:rsid w:val="00834A5F"/>
    <w:rsid w:val="00834C94"/>
    <w:rsid w:val="008368A7"/>
    <w:rsid w:val="00836AF4"/>
    <w:rsid w:val="00836F59"/>
    <w:rsid w:val="008371DC"/>
    <w:rsid w:val="0083721C"/>
    <w:rsid w:val="0083732C"/>
    <w:rsid w:val="008375BB"/>
    <w:rsid w:val="00840D27"/>
    <w:rsid w:val="008412A1"/>
    <w:rsid w:val="00841515"/>
    <w:rsid w:val="00841D19"/>
    <w:rsid w:val="0084334D"/>
    <w:rsid w:val="00843677"/>
    <w:rsid w:val="00843975"/>
    <w:rsid w:val="008439F7"/>
    <w:rsid w:val="00843E07"/>
    <w:rsid w:val="00844625"/>
    <w:rsid w:val="00844937"/>
    <w:rsid w:val="00845549"/>
    <w:rsid w:val="008455DF"/>
    <w:rsid w:val="00845894"/>
    <w:rsid w:val="00845ACD"/>
    <w:rsid w:val="00846223"/>
    <w:rsid w:val="0084647D"/>
    <w:rsid w:val="008465E7"/>
    <w:rsid w:val="0084696B"/>
    <w:rsid w:val="00846C12"/>
    <w:rsid w:val="00847F96"/>
    <w:rsid w:val="00850D41"/>
    <w:rsid w:val="00850F3B"/>
    <w:rsid w:val="008513B4"/>
    <w:rsid w:val="008517D5"/>
    <w:rsid w:val="00852387"/>
    <w:rsid w:val="00852BDB"/>
    <w:rsid w:val="00854DF1"/>
    <w:rsid w:val="008551C9"/>
    <w:rsid w:val="00855803"/>
    <w:rsid w:val="008568FE"/>
    <w:rsid w:val="008572E5"/>
    <w:rsid w:val="0085790F"/>
    <w:rsid w:val="00857AF5"/>
    <w:rsid w:val="0086266C"/>
    <w:rsid w:val="00862BB0"/>
    <w:rsid w:val="00862E92"/>
    <w:rsid w:val="0086370D"/>
    <w:rsid w:val="00863858"/>
    <w:rsid w:val="0086422D"/>
    <w:rsid w:val="00864687"/>
    <w:rsid w:val="008648E6"/>
    <w:rsid w:val="00864954"/>
    <w:rsid w:val="00864CAF"/>
    <w:rsid w:val="00864D92"/>
    <w:rsid w:val="00865DE8"/>
    <w:rsid w:val="00866450"/>
    <w:rsid w:val="00866A7A"/>
    <w:rsid w:val="0086730E"/>
    <w:rsid w:val="00867BBA"/>
    <w:rsid w:val="008702B5"/>
    <w:rsid w:val="00870504"/>
    <w:rsid w:val="00871773"/>
    <w:rsid w:val="00871EC7"/>
    <w:rsid w:val="00873072"/>
    <w:rsid w:val="00873A7A"/>
    <w:rsid w:val="00874DAC"/>
    <w:rsid w:val="00875412"/>
    <w:rsid w:val="0087542F"/>
    <w:rsid w:val="0087568B"/>
    <w:rsid w:val="00876EFF"/>
    <w:rsid w:val="008778A5"/>
    <w:rsid w:val="00877AAC"/>
    <w:rsid w:val="00877F80"/>
    <w:rsid w:val="00877FB2"/>
    <w:rsid w:val="00880468"/>
    <w:rsid w:val="00881D5A"/>
    <w:rsid w:val="00881EE2"/>
    <w:rsid w:val="00882D8C"/>
    <w:rsid w:val="008837E2"/>
    <w:rsid w:val="00883BFC"/>
    <w:rsid w:val="00884473"/>
    <w:rsid w:val="008854C8"/>
    <w:rsid w:val="008857BB"/>
    <w:rsid w:val="00885C9A"/>
    <w:rsid w:val="00886424"/>
    <w:rsid w:val="00886574"/>
    <w:rsid w:val="00886ED8"/>
    <w:rsid w:val="0088706A"/>
    <w:rsid w:val="0088743B"/>
    <w:rsid w:val="008876D4"/>
    <w:rsid w:val="008877E3"/>
    <w:rsid w:val="00887F8D"/>
    <w:rsid w:val="00890011"/>
    <w:rsid w:val="00890019"/>
    <w:rsid w:val="0089021F"/>
    <w:rsid w:val="00890BF5"/>
    <w:rsid w:val="0089153E"/>
    <w:rsid w:val="00892E98"/>
    <w:rsid w:val="00893BA3"/>
    <w:rsid w:val="00893CE2"/>
    <w:rsid w:val="00894689"/>
    <w:rsid w:val="00894D09"/>
    <w:rsid w:val="0089513A"/>
    <w:rsid w:val="0089551A"/>
    <w:rsid w:val="00895A21"/>
    <w:rsid w:val="00896C61"/>
    <w:rsid w:val="00896FC0"/>
    <w:rsid w:val="00897000"/>
    <w:rsid w:val="008971AD"/>
    <w:rsid w:val="008973B0"/>
    <w:rsid w:val="0089796E"/>
    <w:rsid w:val="008A036F"/>
    <w:rsid w:val="008A1CFA"/>
    <w:rsid w:val="008A24D1"/>
    <w:rsid w:val="008A2B52"/>
    <w:rsid w:val="008A30FB"/>
    <w:rsid w:val="008A4D00"/>
    <w:rsid w:val="008A5E6D"/>
    <w:rsid w:val="008A7B0B"/>
    <w:rsid w:val="008B01AC"/>
    <w:rsid w:val="008B09E4"/>
    <w:rsid w:val="008B0C2C"/>
    <w:rsid w:val="008B0D38"/>
    <w:rsid w:val="008B1713"/>
    <w:rsid w:val="008B178C"/>
    <w:rsid w:val="008B1C65"/>
    <w:rsid w:val="008B210A"/>
    <w:rsid w:val="008B2AF7"/>
    <w:rsid w:val="008B3127"/>
    <w:rsid w:val="008B34E2"/>
    <w:rsid w:val="008B40C8"/>
    <w:rsid w:val="008B4670"/>
    <w:rsid w:val="008B4F5F"/>
    <w:rsid w:val="008B50D4"/>
    <w:rsid w:val="008B5B1E"/>
    <w:rsid w:val="008B63A6"/>
    <w:rsid w:val="008B6403"/>
    <w:rsid w:val="008B78AB"/>
    <w:rsid w:val="008B7BEB"/>
    <w:rsid w:val="008C00A1"/>
    <w:rsid w:val="008C0D9C"/>
    <w:rsid w:val="008C210F"/>
    <w:rsid w:val="008C2148"/>
    <w:rsid w:val="008C23D8"/>
    <w:rsid w:val="008C262B"/>
    <w:rsid w:val="008C2A11"/>
    <w:rsid w:val="008C2F0E"/>
    <w:rsid w:val="008C334B"/>
    <w:rsid w:val="008C46EB"/>
    <w:rsid w:val="008C48CB"/>
    <w:rsid w:val="008C4B61"/>
    <w:rsid w:val="008C5209"/>
    <w:rsid w:val="008C5213"/>
    <w:rsid w:val="008C5495"/>
    <w:rsid w:val="008C5D6F"/>
    <w:rsid w:val="008C68AB"/>
    <w:rsid w:val="008C6BE5"/>
    <w:rsid w:val="008C6E85"/>
    <w:rsid w:val="008C7467"/>
    <w:rsid w:val="008C7D38"/>
    <w:rsid w:val="008D0A87"/>
    <w:rsid w:val="008D19BE"/>
    <w:rsid w:val="008D27C1"/>
    <w:rsid w:val="008D2A8B"/>
    <w:rsid w:val="008D30DF"/>
    <w:rsid w:val="008D35D5"/>
    <w:rsid w:val="008D3738"/>
    <w:rsid w:val="008D37DE"/>
    <w:rsid w:val="008D3A4B"/>
    <w:rsid w:val="008D42E7"/>
    <w:rsid w:val="008D46B0"/>
    <w:rsid w:val="008D49AB"/>
    <w:rsid w:val="008D56B4"/>
    <w:rsid w:val="008D59D9"/>
    <w:rsid w:val="008D5A6D"/>
    <w:rsid w:val="008D5B33"/>
    <w:rsid w:val="008D6235"/>
    <w:rsid w:val="008D6439"/>
    <w:rsid w:val="008D685F"/>
    <w:rsid w:val="008D6F4F"/>
    <w:rsid w:val="008D716D"/>
    <w:rsid w:val="008D76F1"/>
    <w:rsid w:val="008D79A6"/>
    <w:rsid w:val="008D7DA0"/>
    <w:rsid w:val="008E06C4"/>
    <w:rsid w:val="008E09F7"/>
    <w:rsid w:val="008E0AA2"/>
    <w:rsid w:val="008E0D7F"/>
    <w:rsid w:val="008E1251"/>
    <w:rsid w:val="008E161B"/>
    <w:rsid w:val="008E195F"/>
    <w:rsid w:val="008E2432"/>
    <w:rsid w:val="008E2705"/>
    <w:rsid w:val="008E39BC"/>
    <w:rsid w:val="008E3B9D"/>
    <w:rsid w:val="008E424E"/>
    <w:rsid w:val="008E4498"/>
    <w:rsid w:val="008E450B"/>
    <w:rsid w:val="008E50C2"/>
    <w:rsid w:val="008E59A4"/>
    <w:rsid w:val="008E5C22"/>
    <w:rsid w:val="008E606C"/>
    <w:rsid w:val="008E727C"/>
    <w:rsid w:val="008E7457"/>
    <w:rsid w:val="008E77A1"/>
    <w:rsid w:val="008F027E"/>
    <w:rsid w:val="008F0FA0"/>
    <w:rsid w:val="008F1D2D"/>
    <w:rsid w:val="008F1D87"/>
    <w:rsid w:val="008F2C68"/>
    <w:rsid w:val="008F417C"/>
    <w:rsid w:val="008F41B5"/>
    <w:rsid w:val="008F4772"/>
    <w:rsid w:val="008F4F3F"/>
    <w:rsid w:val="008F54E2"/>
    <w:rsid w:val="008F5542"/>
    <w:rsid w:val="008F55EA"/>
    <w:rsid w:val="008F5EA5"/>
    <w:rsid w:val="008F5F75"/>
    <w:rsid w:val="008F6F30"/>
    <w:rsid w:val="008F79F7"/>
    <w:rsid w:val="008F7C24"/>
    <w:rsid w:val="0090078F"/>
    <w:rsid w:val="00900E1C"/>
    <w:rsid w:val="009010CA"/>
    <w:rsid w:val="009011B6"/>
    <w:rsid w:val="009012E2"/>
    <w:rsid w:val="009014D0"/>
    <w:rsid w:val="00901B26"/>
    <w:rsid w:val="00902C45"/>
    <w:rsid w:val="009043BB"/>
    <w:rsid w:val="00904420"/>
    <w:rsid w:val="009059BE"/>
    <w:rsid w:val="00906024"/>
    <w:rsid w:val="009074D4"/>
    <w:rsid w:val="0090786B"/>
    <w:rsid w:val="00910532"/>
    <w:rsid w:val="00910B53"/>
    <w:rsid w:val="00910D81"/>
    <w:rsid w:val="009110AB"/>
    <w:rsid w:val="0091353F"/>
    <w:rsid w:val="00913B5C"/>
    <w:rsid w:val="00913CB8"/>
    <w:rsid w:val="009144B7"/>
    <w:rsid w:val="00915C90"/>
    <w:rsid w:val="00916197"/>
    <w:rsid w:val="009162B9"/>
    <w:rsid w:val="009175E0"/>
    <w:rsid w:val="009209C5"/>
    <w:rsid w:val="009212D0"/>
    <w:rsid w:val="00921B14"/>
    <w:rsid w:val="00922232"/>
    <w:rsid w:val="00922278"/>
    <w:rsid w:val="0092284E"/>
    <w:rsid w:val="009232F0"/>
    <w:rsid w:val="009234EB"/>
    <w:rsid w:val="009251DE"/>
    <w:rsid w:val="009252BD"/>
    <w:rsid w:val="00925E33"/>
    <w:rsid w:val="009263B2"/>
    <w:rsid w:val="00926458"/>
    <w:rsid w:val="00926A4E"/>
    <w:rsid w:val="00926A54"/>
    <w:rsid w:val="009273F3"/>
    <w:rsid w:val="00927F2C"/>
    <w:rsid w:val="00930571"/>
    <w:rsid w:val="00930803"/>
    <w:rsid w:val="00930B10"/>
    <w:rsid w:val="00930E94"/>
    <w:rsid w:val="009318DF"/>
    <w:rsid w:val="00931E05"/>
    <w:rsid w:val="00932A2F"/>
    <w:rsid w:val="00932DD0"/>
    <w:rsid w:val="00933176"/>
    <w:rsid w:val="009331DF"/>
    <w:rsid w:val="00933FE2"/>
    <w:rsid w:val="0093408F"/>
    <w:rsid w:val="00934669"/>
    <w:rsid w:val="00934710"/>
    <w:rsid w:val="0093488C"/>
    <w:rsid w:val="00934C73"/>
    <w:rsid w:val="00934E33"/>
    <w:rsid w:val="009358CA"/>
    <w:rsid w:val="00936FDF"/>
    <w:rsid w:val="009413D6"/>
    <w:rsid w:val="00941529"/>
    <w:rsid w:val="009421A9"/>
    <w:rsid w:val="00942AB3"/>
    <w:rsid w:val="00942FEE"/>
    <w:rsid w:val="009432D9"/>
    <w:rsid w:val="0094349C"/>
    <w:rsid w:val="009436D4"/>
    <w:rsid w:val="009438CB"/>
    <w:rsid w:val="00943BA6"/>
    <w:rsid w:val="00943EAF"/>
    <w:rsid w:val="0094464C"/>
    <w:rsid w:val="009458E7"/>
    <w:rsid w:val="00945D1B"/>
    <w:rsid w:val="00947244"/>
    <w:rsid w:val="00947A50"/>
    <w:rsid w:val="00947CF8"/>
    <w:rsid w:val="00950522"/>
    <w:rsid w:val="009507FC"/>
    <w:rsid w:val="009509C8"/>
    <w:rsid w:val="009527FF"/>
    <w:rsid w:val="00952E63"/>
    <w:rsid w:val="009531FA"/>
    <w:rsid w:val="009532A9"/>
    <w:rsid w:val="009534B9"/>
    <w:rsid w:val="009537F9"/>
    <w:rsid w:val="00953DE4"/>
    <w:rsid w:val="0095453E"/>
    <w:rsid w:val="009559D4"/>
    <w:rsid w:val="00957670"/>
    <w:rsid w:val="00957A04"/>
    <w:rsid w:val="00957A6F"/>
    <w:rsid w:val="00957ECE"/>
    <w:rsid w:val="009601A6"/>
    <w:rsid w:val="00960306"/>
    <w:rsid w:val="00960DCA"/>
    <w:rsid w:val="00960E24"/>
    <w:rsid w:val="00961060"/>
    <w:rsid w:val="00961606"/>
    <w:rsid w:val="00961B51"/>
    <w:rsid w:val="00961C4C"/>
    <w:rsid w:val="0096271A"/>
    <w:rsid w:val="00962A4D"/>
    <w:rsid w:val="00962DCF"/>
    <w:rsid w:val="00963240"/>
    <w:rsid w:val="009637B4"/>
    <w:rsid w:val="009641DF"/>
    <w:rsid w:val="009643F9"/>
    <w:rsid w:val="00964EDB"/>
    <w:rsid w:val="0096655F"/>
    <w:rsid w:val="00966A73"/>
    <w:rsid w:val="00966E62"/>
    <w:rsid w:val="009673A7"/>
    <w:rsid w:val="009677AD"/>
    <w:rsid w:val="00967AF6"/>
    <w:rsid w:val="00967C7A"/>
    <w:rsid w:val="009700C6"/>
    <w:rsid w:val="0097044E"/>
    <w:rsid w:val="00970FA1"/>
    <w:rsid w:val="00971172"/>
    <w:rsid w:val="00972114"/>
    <w:rsid w:val="00972D82"/>
    <w:rsid w:val="00972FB1"/>
    <w:rsid w:val="00973385"/>
    <w:rsid w:val="009741B7"/>
    <w:rsid w:val="0097435F"/>
    <w:rsid w:val="009743BA"/>
    <w:rsid w:val="00974430"/>
    <w:rsid w:val="009749F8"/>
    <w:rsid w:val="00974C94"/>
    <w:rsid w:val="009753E2"/>
    <w:rsid w:val="0097666C"/>
    <w:rsid w:val="009768B4"/>
    <w:rsid w:val="009774AF"/>
    <w:rsid w:val="009776BC"/>
    <w:rsid w:val="00977A6D"/>
    <w:rsid w:val="00977A7E"/>
    <w:rsid w:val="00977F35"/>
    <w:rsid w:val="009801B6"/>
    <w:rsid w:val="0098090C"/>
    <w:rsid w:val="009814D3"/>
    <w:rsid w:val="0098220C"/>
    <w:rsid w:val="009822B6"/>
    <w:rsid w:val="00983309"/>
    <w:rsid w:val="009833CE"/>
    <w:rsid w:val="009834D7"/>
    <w:rsid w:val="009835BB"/>
    <w:rsid w:val="00983E77"/>
    <w:rsid w:val="00983FD7"/>
    <w:rsid w:val="009841D7"/>
    <w:rsid w:val="00984F92"/>
    <w:rsid w:val="0098524C"/>
    <w:rsid w:val="0098524F"/>
    <w:rsid w:val="009854CE"/>
    <w:rsid w:val="00985A40"/>
    <w:rsid w:val="00985C94"/>
    <w:rsid w:val="00985E20"/>
    <w:rsid w:val="009861EC"/>
    <w:rsid w:val="009864CE"/>
    <w:rsid w:val="009871B1"/>
    <w:rsid w:val="00987217"/>
    <w:rsid w:val="00987D72"/>
    <w:rsid w:val="00987EB9"/>
    <w:rsid w:val="0099031F"/>
    <w:rsid w:val="00990626"/>
    <w:rsid w:val="00990F0A"/>
    <w:rsid w:val="00991A8B"/>
    <w:rsid w:val="00991EB0"/>
    <w:rsid w:val="00992E48"/>
    <w:rsid w:val="00992F2A"/>
    <w:rsid w:val="009934F6"/>
    <w:rsid w:val="00993B8B"/>
    <w:rsid w:val="00993F8C"/>
    <w:rsid w:val="00994206"/>
    <w:rsid w:val="009943D0"/>
    <w:rsid w:val="00994550"/>
    <w:rsid w:val="009951B6"/>
    <w:rsid w:val="009953AF"/>
    <w:rsid w:val="00995678"/>
    <w:rsid w:val="009956E6"/>
    <w:rsid w:val="00995CDD"/>
    <w:rsid w:val="00997FE0"/>
    <w:rsid w:val="009A042E"/>
    <w:rsid w:val="009A1539"/>
    <w:rsid w:val="009A15C0"/>
    <w:rsid w:val="009A162C"/>
    <w:rsid w:val="009A1ACF"/>
    <w:rsid w:val="009A2D82"/>
    <w:rsid w:val="009A3420"/>
    <w:rsid w:val="009A3A3A"/>
    <w:rsid w:val="009A46CC"/>
    <w:rsid w:val="009A5110"/>
    <w:rsid w:val="009A52DA"/>
    <w:rsid w:val="009A5717"/>
    <w:rsid w:val="009A58C1"/>
    <w:rsid w:val="009A5ADC"/>
    <w:rsid w:val="009A6800"/>
    <w:rsid w:val="009A6CC5"/>
    <w:rsid w:val="009A74B1"/>
    <w:rsid w:val="009A75E2"/>
    <w:rsid w:val="009A7855"/>
    <w:rsid w:val="009A7CC7"/>
    <w:rsid w:val="009A7F4F"/>
    <w:rsid w:val="009B09B2"/>
    <w:rsid w:val="009B1AB1"/>
    <w:rsid w:val="009B1B48"/>
    <w:rsid w:val="009B2217"/>
    <w:rsid w:val="009B4364"/>
    <w:rsid w:val="009B48DD"/>
    <w:rsid w:val="009B4B33"/>
    <w:rsid w:val="009B4E37"/>
    <w:rsid w:val="009B4E8D"/>
    <w:rsid w:val="009B50DE"/>
    <w:rsid w:val="009B5F61"/>
    <w:rsid w:val="009B646E"/>
    <w:rsid w:val="009B68B5"/>
    <w:rsid w:val="009B6D39"/>
    <w:rsid w:val="009C016C"/>
    <w:rsid w:val="009C030D"/>
    <w:rsid w:val="009C0B06"/>
    <w:rsid w:val="009C0C0E"/>
    <w:rsid w:val="009C0EB8"/>
    <w:rsid w:val="009C10F4"/>
    <w:rsid w:val="009C120D"/>
    <w:rsid w:val="009C1659"/>
    <w:rsid w:val="009C166C"/>
    <w:rsid w:val="009C1AE9"/>
    <w:rsid w:val="009C1F3F"/>
    <w:rsid w:val="009C2142"/>
    <w:rsid w:val="009C34D0"/>
    <w:rsid w:val="009C3A63"/>
    <w:rsid w:val="009C3F2D"/>
    <w:rsid w:val="009C3F84"/>
    <w:rsid w:val="009C6386"/>
    <w:rsid w:val="009C6962"/>
    <w:rsid w:val="009C6975"/>
    <w:rsid w:val="009C78DA"/>
    <w:rsid w:val="009D0BF8"/>
    <w:rsid w:val="009D10ED"/>
    <w:rsid w:val="009D175E"/>
    <w:rsid w:val="009D1B18"/>
    <w:rsid w:val="009D2504"/>
    <w:rsid w:val="009D2CEB"/>
    <w:rsid w:val="009D319D"/>
    <w:rsid w:val="009D3258"/>
    <w:rsid w:val="009D35DE"/>
    <w:rsid w:val="009D3D15"/>
    <w:rsid w:val="009D523A"/>
    <w:rsid w:val="009D6A19"/>
    <w:rsid w:val="009D6CEC"/>
    <w:rsid w:val="009D6DA0"/>
    <w:rsid w:val="009D6F39"/>
    <w:rsid w:val="009D7273"/>
    <w:rsid w:val="009D7692"/>
    <w:rsid w:val="009D7DD5"/>
    <w:rsid w:val="009E00FB"/>
    <w:rsid w:val="009E0126"/>
    <w:rsid w:val="009E13BA"/>
    <w:rsid w:val="009E1613"/>
    <w:rsid w:val="009E1A84"/>
    <w:rsid w:val="009E1BF4"/>
    <w:rsid w:val="009E1F25"/>
    <w:rsid w:val="009E391B"/>
    <w:rsid w:val="009E3B41"/>
    <w:rsid w:val="009E404A"/>
    <w:rsid w:val="009E4728"/>
    <w:rsid w:val="009E4EEA"/>
    <w:rsid w:val="009E5076"/>
    <w:rsid w:val="009E52DC"/>
    <w:rsid w:val="009E63F8"/>
    <w:rsid w:val="009E7496"/>
    <w:rsid w:val="009E7A2E"/>
    <w:rsid w:val="009E7B0E"/>
    <w:rsid w:val="009F0DCA"/>
    <w:rsid w:val="009F2680"/>
    <w:rsid w:val="009F2BD8"/>
    <w:rsid w:val="009F2C5D"/>
    <w:rsid w:val="009F3038"/>
    <w:rsid w:val="009F3C41"/>
    <w:rsid w:val="009F49D4"/>
    <w:rsid w:val="009F4E83"/>
    <w:rsid w:val="009F4EAB"/>
    <w:rsid w:val="009F5145"/>
    <w:rsid w:val="009F555F"/>
    <w:rsid w:val="009F5D65"/>
    <w:rsid w:val="009F5E68"/>
    <w:rsid w:val="009F672B"/>
    <w:rsid w:val="009F6882"/>
    <w:rsid w:val="009F6A66"/>
    <w:rsid w:val="009F6A6C"/>
    <w:rsid w:val="009F722F"/>
    <w:rsid w:val="009F7A50"/>
    <w:rsid w:val="009F7D92"/>
    <w:rsid w:val="009F7F81"/>
    <w:rsid w:val="00A00058"/>
    <w:rsid w:val="00A00E5F"/>
    <w:rsid w:val="00A01CEA"/>
    <w:rsid w:val="00A01E7F"/>
    <w:rsid w:val="00A01FAC"/>
    <w:rsid w:val="00A02A70"/>
    <w:rsid w:val="00A03096"/>
    <w:rsid w:val="00A033BE"/>
    <w:rsid w:val="00A038E4"/>
    <w:rsid w:val="00A04065"/>
    <w:rsid w:val="00A04492"/>
    <w:rsid w:val="00A047E9"/>
    <w:rsid w:val="00A0486B"/>
    <w:rsid w:val="00A04C0B"/>
    <w:rsid w:val="00A052A3"/>
    <w:rsid w:val="00A05A8C"/>
    <w:rsid w:val="00A0674A"/>
    <w:rsid w:val="00A071D5"/>
    <w:rsid w:val="00A0752C"/>
    <w:rsid w:val="00A07567"/>
    <w:rsid w:val="00A10ABE"/>
    <w:rsid w:val="00A113E7"/>
    <w:rsid w:val="00A117DB"/>
    <w:rsid w:val="00A11A79"/>
    <w:rsid w:val="00A120D7"/>
    <w:rsid w:val="00A1214F"/>
    <w:rsid w:val="00A13217"/>
    <w:rsid w:val="00A13A7E"/>
    <w:rsid w:val="00A13B0F"/>
    <w:rsid w:val="00A16564"/>
    <w:rsid w:val="00A1709A"/>
    <w:rsid w:val="00A17786"/>
    <w:rsid w:val="00A17965"/>
    <w:rsid w:val="00A17D8C"/>
    <w:rsid w:val="00A2041E"/>
    <w:rsid w:val="00A204DD"/>
    <w:rsid w:val="00A20658"/>
    <w:rsid w:val="00A20BD8"/>
    <w:rsid w:val="00A211F8"/>
    <w:rsid w:val="00A214A6"/>
    <w:rsid w:val="00A217CA"/>
    <w:rsid w:val="00A21EF7"/>
    <w:rsid w:val="00A22CB2"/>
    <w:rsid w:val="00A2341E"/>
    <w:rsid w:val="00A23E2C"/>
    <w:rsid w:val="00A2460F"/>
    <w:rsid w:val="00A24AD8"/>
    <w:rsid w:val="00A24BA0"/>
    <w:rsid w:val="00A25533"/>
    <w:rsid w:val="00A25741"/>
    <w:rsid w:val="00A25A4F"/>
    <w:rsid w:val="00A25DD5"/>
    <w:rsid w:val="00A26B93"/>
    <w:rsid w:val="00A2752D"/>
    <w:rsid w:val="00A318E9"/>
    <w:rsid w:val="00A31EFA"/>
    <w:rsid w:val="00A324D8"/>
    <w:rsid w:val="00A333D3"/>
    <w:rsid w:val="00A336FF"/>
    <w:rsid w:val="00A33D3C"/>
    <w:rsid w:val="00A33D9B"/>
    <w:rsid w:val="00A350E4"/>
    <w:rsid w:val="00A35395"/>
    <w:rsid w:val="00A35E11"/>
    <w:rsid w:val="00A35E7E"/>
    <w:rsid w:val="00A361BC"/>
    <w:rsid w:val="00A378DE"/>
    <w:rsid w:val="00A37C7A"/>
    <w:rsid w:val="00A402EA"/>
    <w:rsid w:val="00A40514"/>
    <w:rsid w:val="00A40A65"/>
    <w:rsid w:val="00A40CBA"/>
    <w:rsid w:val="00A40F41"/>
    <w:rsid w:val="00A413E0"/>
    <w:rsid w:val="00A4143D"/>
    <w:rsid w:val="00A417DE"/>
    <w:rsid w:val="00A41FB7"/>
    <w:rsid w:val="00A4210B"/>
    <w:rsid w:val="00A42359"/>
    <w:rsid w:val="00A4364A"/>
    <w:rsid w:val="00A43EAB"/>
    <w:rsid w:val="00A43FC0"/>
    <w:rsid w:val="00A44373"/>
    <w:rsid w:val="00A4474A"/>
    <w:rsid w:val="00A45FAB"/>
    <w:rsid w:val="00A4628E"/>
    <w:rsid w:val="00A5036A"/>
    <w:rsid w:val="00A505BA"/>
    <w:rsid w:val="00A50EBD"/>
    <w:rsid w:val="00A50F8C"/>
    <w:rsid w:val="00A51228"/>
    <w:rsid w:val="00A51CF7"/>
    <w:rsid w:val="00A52FE4"/>
    <w:rsid w:val="00A53253"/>
    <w:rsid w:val="00A53350"/>
    <w:rsid w:val="00A53DD3"/>
    <w:rsid w:val="00A5409C"/>
    <w:rsid w:val="00A542BD"/>
    <w:rsid w:val="00A5442C"/>
    <w:rsid w:val="00A54D74"/>
    <w:rsid w:val="00A5550B"/>
    <w:rsid w:val="00A5562F"/>
    <w:rsid w:val="00A55737"/>
    <w:rsid w:val="00A55CC7"/>
    <w:rsid w:val="00A55DDB"/>
    <w:rsid w:val="00A55DDD"/>
    <w:rsid w:val="00A56553"/>
    <w:rsid w:val="00A569DD"/>
    <w:rsid w:val="00A56A61"/>
    <w:rsid w:val="00A56F8F"/>
    <w:rsid w:val="00A579EC"/>
    <w:rsid w:val="00A57F8D"/>
    <w:rsid w:val="00A60835"/>
    <w:rsid w:val="00A6086C"/>
    <w:rsid w:val="00A60CBF"/>
    <w:rsid w:val="00A614BB"/>
    <w:rsid w:val="00A616FA"/>
    <w:rsid w:val="00A61C49"/>
    <w:rsid w:val="00A62D93"/>
    <w:rsid w:val="00A637A1"/>
    <w:rsid w:val="00A63810"/>
    <w:rsid w:val="00A64B3C"/>
    <w:rsid w:val="00A65561"/>
    <w:rsid w:val="00A65C41"/>
    <w:rsid w:val="00A65EEC"/>
    <w:rsid w:val="00A666F2"/>
    <w:rsid w:val="00A671BE"/>
    <w:rsid w:val="00A67BFE"/>
    <w:rsid w:val="00A67F77"/>
    <w:rsid w:val="00A70148"/>
    <w:rsid w:val="00A702E2"/>
    <w:rsid w:val="00A70632"/>
    <w:rsid w:val="00A707DD"/>
    <w:rsid w:val="00A70834"/>
    <w:rsid w:val="00A70A1D"/>
    <w:rsid w:val="00A7142B"/>
    <w:rsid w:val="00A72229"/>
    <w:rsid w:val="00A722B0"/>
    <w:rsid w:val="00A72FC9"/>
    <w:rsid w:val="00A73146"/>
    <w:rsid w:val="00A73BC3"/>
    <w:rsid w:val="00A73F4F"/>
    <w:rsid w:val="00A74234"/>
    <w:rsid w:val="00A74299"/>
    <w:rsid w:val="00A74816"/>
    <w:rsid w:val="00A74E4A"/>
    <w:rsid w:val="00A75862"/>
    <w:rsid w:val="00A75BB4"/>
    <w:rsid w:val="00A75BC0"/>
    <w:rsid w:val="00A75EC2"/>
    <w:rsid w:val="00A75F5E"/>
    <w:rsid w:val="00A7647B"/>
    <w:rsid w:val="00A76BAC"/>
    <w:rsid w:val="00A76C0D"/>
    <w:rsid w:val="00A77366"/>
    <w:rsid w:val="00A77829"/>
    <w:rsid w:val="00A77B00"/>
    <w:rsid w:val="00A77BD4"/>
    <w:rsid w:val="00A80AE1"/>
    <w:rsid w:val="00A80CD8"/>
    <w:rsid w:val="00A817AE"/>
    <w:rsid w:val="00A83B53"/>
    <w:rsid w:val="00A8556A"/>
    <w:rsid w:val="00A855B7"/>
    <w:rsid w:val="00A86126"/>
    <w:rsid w:val="00A866B0"/>
    <w:rsid w:val="00A8696E"/>
    <w:rsid w:val="00A871C8"/>
    <w:rsid w:val="00A87394"/>
    <w:rsid w:val="00A87663"/>
    <w:rsid w:val="00A8770C"/>
    <w:rsid w:val="00A87B31"/>
    <w:rsid w:val="00A909F3"/>
    <w:rsid w:val="00A91511"/>
    <w:rsid w:val="00A92B9C"/>
    <w:rsid w:val="00A93466"/>
    <w:rsid w:val="00A936AC"/>
    <w:rsid w:val="00A944B2"/>
    <w:rsid w:val="00A95740"/>
    <w:rsid w:val="00A960F2"/>
    <w:rsid w:val="00A9618B"/>
    <w:rsid w:val="00A961DA"/>
    <w:rsid w:val="00A96872"/>
    <w:rsid w:val="00A96EE6"/>
    <w:rsid w:val="00A97771"/>
    <w:rsid w:val="00A97B11"/>
    <w:rsid w:val="00A97E64"/>
    <w:rsid w:val="00AA00E0"/>
    <w:rsid w:val="00AA040E"/>
    <w:rsid w:val="00AA0BAC"/>
    <w:rsid w:val="00AA278C"/>
    <w:rsid w:val="00AA2885"/>
    <w:rsid w:val="00AA3AD1"/>
    <w:rsid w:val="00AA3B59"/>
    <w:rsid w:val="00AA3F38"/>
    <w:rsid w:val="00AA4B17"/>
    <w:rsid w:val="00AA522C"/>
    <w:rsid w:val="00AA5B79"/>
    <w:rsid w:val="00AA5E58"/>
    <w:rsid w:val="00AA6038"/>
    <w:rsid w:val="00AA605F"/>
    <w:rsid w:val="00AA682F"/>
    <w:rsid w:val="00AA6AE3"/>
    <w:rsid w:val="00AA727D"/>
    <w:rsid w:val="00AA7766"/>
    <w:rsid w:val="00AB0175"/>
    <w:rsid w:val="00AB0271"/>
    <w:rsid w:val="00AB13A4"/>
    <w:rsid w:val="00AB16CD"/>
    <w:rsid w:val="00AB1FD2"/>
    <w:rsid w:val="00AB22C0"/>
    <w:rsid w:val="00AB239C"/>
    <w:rsid w:val="00AB26A3"/>
    <w:rsid w:val="00AB2C23"/>
    <w:rsid w:val="00AB473D"/>
    <w:rsid w:val="00AB4BF2"/>
    <w:rsid w:val="00AB4F36"/>
    <w:rsid w:val="00AB73AE"/>
    <w:rsid w:val="00AB7646"/>
    <w:rsid w:val="00AB7B93"/>
    <w:rsid w:val="00AB7D2F"/>
    <w:rsid w:val="00AC015D"/>
    <w:rsid w:val="00AC02A5"/>
    <w:rsid w:val="00AC0829"/>
    <w:rsid w:val="00AC1537"/>
    <w:rsid w:val="00AC1D02"/>
    <w:rsid w:val="00AC2C82"/>
    <w:rsid w:val="00AC3737"/>
    <w:rsid w:val="00AC3B0A"/>
    <w:rsid w:val="00AC4092"/>
    <w:rsid w:val="00AC416E"/>
    <w:rsid w:val="00AC4269"/>
    <w:rsid w:val="00AC436F"/>
    <w:rsid w:val="00AC4DA5"/>
    <w:rsid w:val="00AC4DDB"/>
    <w:rsid w:val="00AC555E"/>
    <w:rsid w:val="00AC56CD"/>
    <w:rsid w:val="00AC57D1"/>
    <w:rsid w:val="00AC6069"/>
    <w:rsid w:val="00AC6206"/>
    <w:rsid w:val="00AC6542"/>
    <w:rsid w:val="00AC68DB"/>
    <w:rsid w:val="00AC6FA8"/>
    <w:rsid w:val="00AC723B"/>
    <w:rsid w:val="00AC7292"/>
    <w:rsid w:val="00AC7939"/>
    <w:rsid w:val="00AC7C03"/>
    <w:rsid w:val="00AD10CC"/>
    <w:rsid w:val="00AD21E8"/>
    <w:rsid w:val="00AD2258"/>
    <w:rsid w:val="00AD3940"/>
    <w:rsid w:val="00AD3B2C"/>
    <w:rsid w:val="00AD3C0F"/>
    <w:rsid w:val="00AD48F7"/>
    <w:rsid w:val="00AD52D3"/>
    <w:rsid w:val="00AD5686"/>
    <w:rsid w:val="00AD5E61"/>
    <w:rsid w:val="00AD71B8"/>
    <w:rsid w:val="00AD765E"/>
    <w:rsid w:val="00AD7B7B"/>
    <w:rsid w:val="00AE0126"/>
    <w:rsid w:val="00AE0EB7"/>
    <w:rsid w:val="00AE1D97"/>
    <w:rsid w:val="00AE25CF"/>
    <w:rsid w:val="00AE26F1"/>
    <w:rsid w:val="00AE33AB"/>
    <w:rsid w:val="00AE45F2"/>
    <w:rsid w:val="00AE4AD4"/>
    <w:rsid w:val="00AE4D55"/>
    <w:rsid w:val="00AE5193"/>
    <w:rsid w:val="00AE57FB"/>
    <w:rsid w:val="00AE5AD7"/>
    <w:rsid w:val="00AE6C02"/>
    <w:rsid w:val="00AE6CF7"/>
    <w:rsid w:val="00AE6CFD"/>
    <w:rsid w:val="00AE6D05"/>
    <w:rsid w:val="00AE6DDD"/>
    <w:rsid w:val="00AF0280"/>
    <w:rsid w:val="00AF0DBB"/>
    <w:rsid w:val="00AF1EC7"/>
    <w:rsid w:val="00AF2496"/>
    <w:rsid w:val="00AF2708"/>
    <w:rsid w:val="00AF35BA"/>
    <w:rsid w:val="00AF4511"/>
    <w:rsid w:val="00AF4590"/>
    <w:rsid w:val="00AF4840"/>
    <w:rsid w:val="00AF4ACC"/>
    <w:rsid w:val="00AF4E3F"/>
    <w:rsid w:val="00AF4EDA"/>
    <w:rsid w:val="00AF5556"/>
    <w:rsid w:val="00AF56E7"/>
    <w:rsid w:val="00AF5859"/>
    <w:rsid w:val="00AF5AC1"/>
    <w:rsid w:val="00AF662F"/>
    <w:rsid w:val="00AF6924"/>
    <w:rsid w:val="00AF6AA4"/>
    <w:rsid w:val="00AF6D28"/>
    <w:rsid w:val="00AF700E"/>
    <w:rsid w:val="00AF7550"/>
    <w:rsid w:val="00AF78D5"/>
    <w:rsid w:val="00AF7987"/>
    <w:rsid w:val="00B01227"/>
    <w:rsid w:val="00B021D6"/>
    <w:rsid w:val="00B02738"/>
    <w:rsid w:val="00B029FC"/>
    <w:rsid w:val="00B02A0F"/>
    <w:rsid w:val="00B03BAE"/>
    <w:rsid w:val="00B03C6F"/>
    <w:rsid w:val="00B03E56"/>
    <w:rsid w:val="00B04653"/>
    <w:rsid w:val="00B04F0A"/>
    <w:rsid w:val="00B05842"/>
    <w:rsid w:val="00B05B3A"/>
    <w:rsid w:val="00B067AF"/>
    <w:rsid w:val="00B0739A"/>
    <w:rsid w:val="00B07B4A"/>
    <w:rsid w:val="00B102AA"/>
    <w:rsid w:val="00B102CF"/>
    <w:rsid w:val="00B10EC5"/>
    <w:rsid w:val="00B11EB0"/>
    <w:rsid w:val="00B12949"/>
    <w:rsid w:val="00B12A0B"/>
    <w:rsid w:val="00B12F32"/>
    <w:rsid w:val="00B132E3"/>
    <w:rsid w:val="00B13595"/>
    <w:rsid w:val="00B13851"/>
    <w:rsid w:val="00B14198"/>
    <w:rsid w:val="00B1572C"/>
    <w:rsid w:val="00B1578B"/>
    <w:rsid w:val="00B1591E"/>
    <w:rsid w:val="00B159D2"/>
    <w:rsid w:val="00B15E3D"/>
    <w:rsid w:val="00B1696D"/>
    <w:rsid w:val="00B1717E"/>
    <w:rsid w:val="00B17484"/>
    <w:rsid w:val="00B176DB"/>
    <w:rsid w:val="00B17AE4"/>
    <w:rsid w:val="00B17D9B"/>
    <w:rsid w:val="00B20449"/>
    <w:rsid w:val="00B20D16"/>
    <w:rsid w:val="00B20E8D"/>
    <w:rsid w:val="00B21A33"/>
    <w:rsid w:val="00B21E12"/>
    <w:rsid w:val="00B220C7"/>
    <w:rsid w:val="00B22778"/>
    <w:rsid w:val="00B22FEE"/>
    <w:rsid w:val="00B23586"/>
    <w:rsid w:val="00B235F9"/>
    <w:rsid w:val="00B23998"/>
    <w:rsid w:val="00B2400E"/>
    <w:rsid w:val="00B2405C"/>
    <w:rsid w:val="00B24120"/>
    <w:rsid w:val="00B24628"/>
    <w:rsid w:val="00B2493A"/>
    <w:rsid w:val="00B25062"/>
    <w:rsid w:val="00B258A2"/>
    <w:rsid w:val="00B25AEC"/>
    <w:rsid w:val="00B262B4"/>
    <w:rsid w:val="00B26491"/>
    <w:rsid w:val="00B26E63"/>
    <w:rsid w:val="00B2755C"/>
    <w:rsid w:val="00B27E53"/>
    <w:rsid w:val="00B30272"/>
    <w:rsid w:val="00B30907"/>
    <w:rsid w:val="00B30D1B"/>
    <w:rsid w:val="00B31484"/>
    <w:rsid w:val="00B31A57"/>
    <w:rsid w:val="00B32B1C"/>
    <w:rsid w:val="00B334A6"/>
    <w:rsid w:val="00B33DD8"/>
    <w:rsid w:val="00B340D7"/>
    <w:rsid w:val="00B34191"/>
    <w:rsid w:val="00B34794"/>
    <w:rsid w:val="00B34C8B"/>
    <w:rsid w:val="00B3556B"/>
    <w:rsid w:val="00B36817"/>
    <w:rsid w:val="00B37BA1"/>
    <w:rsid w:val="00B37F3B"/>
    <w:rsid w:val="00B40850"/>
    <w:rsid w:val="00B408A8"/>
    <w:rsid w:val="00B4098E"/>
    <w:rsid w:val="00B4106D"/>
    <w:rsid w:val="00B41C35"/>
    <w:rsid w:val="00B425F5"/>
    <w:rsid w:val="00B4262C"/>
    <w:rsid w:val="00B42870"/>
    <w:rsid w:val="00B4470A"/>
    <w:rsid w:val="00B448E9"/>
    <w:rsid w:val="00B4547F"/>
    <w:rsid w:val="00B45638"/>
    <w:rsid w:val="00B45A97"/>
    <w:rsid w:val="00B465D6"/>
    <w:rsid w:val="00B47237"/>
    <w:rsid w:val="00B5033A"/>
    <w:rsid w:val="00B51222"/>
    <w:rsid w:val="00B51FDC"/>
    <w:rsid w:val="00B52C58"/>
    <w:rsid w:val="00B53870"/>
    <w:rsid w:val="00B53A3A"/>
    <w:rsid w:val="00B541A2"/>
    <w:rsid w:val="00B54285"/>
    <w:rsid w:val="00B55111"/>
    <w:rsid w:val="00B55F02"/>
    <w:rsid w:val="00B566A1"/>
    <w:rsid w:val="00B56A91"/>
    <w:rsid w:val="00B609B0"/>
    <w:rsid w:val="00B60B0A"/>
    <w:rsid w:val="00B612C8"/>
    <w:rsid w:val="00B6149B"/>
    <w:rsid w:val="00B6173F"/>
    <w:rsid w:val="00B61CAF"/>
    <w:rsid w:val="00B62E39"/>
    <w:rsid w:val="00B63321"/>
    <w:rsid w:val="00B64746"/>
    <w:rsid w:val="00B6487B"/>
    <w:rsid w:val="00B64C76"/>
    <w:rsid w:val="00B65BA9"/>
    <w:rsid w:val="00B664D3"/>
    <w:rsid w:val="00B66975"/>
    <w:rsid w:val="00B6777B"/>
    <w:rsid w:val="00B678A2"/>
    <w:rsid w:val="00B678A5"/>
    <w:rsid w:val="00B67F78"/>
    <w:rsid w:val="00B70618"/>
    <w:rsid w:val="00B70945"/>
    <w:rsid w:val="00B709E1"/>
    <w:rsid w:val="00B72ABD"/>
    <w:rsid w:val="00B74F9F"/>
    <w:rsid w:val="00B75658"/>
    <w:rsid w:val="00B759E5"/>
    <w:rsid w:val="00B75C37"/>
    <w:rsid w:val="00B7606D"/>
    <w:rsid w:val="00B7649A"/>
    <w:rsid w:val="00B7682D"/>
    <w:rsid w:val="00B768C5"/>
    <w:rsid w:val="00B769A8"/>
    <w:rsid w:val="00B775C2"/>
    <w:rsid w:val="00B77980"/>
    <w:rsid w:val="00B77DAD"/>
    <w:rsid w:val="00B802DF"/>
    <w:rsid w:val="00B807FF"/>
    <w:rsid w:val="00B809F7"/>
    <w:rsid w:val="00B810AD"/>
    <w:rsid w:val="00B8123B"/>
    <w:rsid w:val="00B81DCF"/>
    <w:rsid w:val="00B84842"/>
    <w:rsid w:val="00B85413"/>
    <w:rsid w:val="00B86E2E"/>
    <w:rsid w:val="00B87968"/>
    <w:rsid w:val="00B87B29"/>
    <w:rsid w:val="00B87DE7"/>
    <w:rsid w:val="00B903F6"/>
    <w:rsid w:val="00B911BE"/>
    <w:rsid w:val="00B91BDC"/>
    <w:rsid w:val="00B91D41"/>
    <w:rsid w:val="00B92B25"/>
    <w:rsid w:val="00B92DCA"/>
    <w:rsid w:val="00B9379A"/>
    <w:rsid w:val="00B943E6"/>
    <w:rsid w:val="00B9479F"/>
    <w:rsid w:val="00B95EC4"/>
    <w:rsid w:val="00B9635E"/>
    <w:rsid w:val="00B969D1"/>
    <w:rsid w:val="00B9746E"/>
    <w:rsid w:val="00B979F9"/>
    <w:rsid w:val="00B97E35"/>
    <w:rsid w:val="00BA0874"/>
    <w:rsid w:val="00BA0B0A"/>
    <w:rsid w:val="00BA227A"/>
    <w:rsid w:val="00BA3250"/>
    <w:rsid w:val="00BA3613"/>
    <w:rsid w:val="00BA424E"/>
    <w:rsid w:val="00BA4E26"/>
    <w:rsid w:val="00BA600A"/>
    <w:rsid w:val="00BA6076"/>
    <w:rsid w:val="00BA645F"/>
    <w:rsid w:val="00BA67A3"/>
    <w:rsid w:val="00BA79E4"/>
    <w:rsid w:val="00BB05CB"/>
    <w:rsid w:val="00BB0D3B"/>
    <w:rsid w:val="00BB0E05"/>
    <w:rsid w:val="00BB2798"/>
    <w:rsid w:val="00BB2D6C"/>
    <w:rsid w:val="00BB2FAC"/>
    <w:rsid w:val="00BB3D5F"/>
    <w:rsid w:val="00BB3FFE"/>
    <w:rsid w:val="00BB400C"/>
    <w:rsid w:val="00BB47B5"/>
    <w:rsid w:val="00BB4BE0"/>
    <w:rsid w:val="00BB57AA"/>
    <w:rsid w:val="00BB6587"/>
    <w:rsid w:val="00BB69EA"/>
    <w:rsid w:val="00BB77A7"/>
    <w:rsid w:val="00BB7B80"/>
    <w:rsid w:val="00BB7CF2"/>
    <w:rsid w:val="00BC08A4"/>
    <w:rsid w:val="00BC18FA"/>
    <w:rsid w:val="00BC1BE2"/>
    <w:rsid w:val="00BC3A5F"/>
    <w:rsid w:val="00BC4154"/>
    <w:rsid w:val="00BC4823"/>
    <w:rsid w:val="00BC5379"/>
    <w:rsid w:val="00BC56D8"/>
    <w:rsid w:val="00BC58B7"/>
    <w:rsid w:val="00BD0CE9"/>
    <w:rsid w:val="00BD0E1B"/>
    <w:rsid w:val="00BD0EB4"/>
    <w:rsid w:val="00BD1457"/>
    <w:rsid w:val="00BD1680"/>
    <w:rsid w:val="00BD32A8"/>
    <w:rsid w:val="00BD4547"/>
    <w:rsid w:val="00BD4DB7"/>
    <w:rsid w:val="00BD4DD8"/>
    <w:rsid w:val="00BD5378"/>
    <w:rsid w:val="00BD579D"/>
    <w:rsid w:val="00BD5836"/>
    <w:rsid w:val="00BD61E0"/>
    <w:rsid w:val="00BD6DED"/>
    <w:rsid w:val="00BD70D5"/>
    <w:rsid w:val="00BD73DB"/>
    <w:rsid w:val="00BD76A6"/>
    <w:rsid w:val="00BD7C63"/>
    <w:rsid w:val="00BD7E98"/>
    <w:rsid w:val="00BD7EBF"/>
    <w:rsid w:val="00BE0CDB"/>
    <w:rsid w:val="00BE0F52"/>
    <w:rsid w:val="00BE168F"/>
    <w:rsid w:val="00BE1744"/>
    <w:rsid w:val="00BE1B13"/>
    <w:rsid w:val="00BE2085"/>
    <w:rsid w:val="00BE2408"/>
    <w:rsid w:val="00BE2424"/>
    <w:rsid w:val="00BE3205"/>
    <w:rsid w:val="00BE352A"/>
    <w:rsid w:val="00BE3E77"/>
    <w:rsid w:val="00BE44C7"/>
    <w:rsid w:val="00BE4AD1"/>
    <w:rsid w:val="00BE4F26"/>
    <w:rsid w:val="00BE59E2"/>
    <w:rsid w:val="00BE5D71"/>
    <w:rsid w:val="00BE6416"/>
    <w:rsid w:val="00BE6973"/>
    <w:rsid w:val="00BF003F"/>
    <w:rsid w:val="00BF06BA"/>
    <w:rsid w:val="00BF06D3"/>
    <w:rsid w:val="00BF0BA6"/>
    <w:rsid w:val="00BF3042"/>
    <w:rsid w:val="00BF3531"/>
    <w:rsid w:val="00BF3ACC"/>
    <w:rsid w:val="00BF3CFF"/>
    <w:rsid w:val="00BF4504"/>
    <w:rsid w:val="00BF4785"/>
    <w:rsid w:val="00BF5018"/>
    <w:rsid w:val="00BF5B48"/>
    <w:rsid w:val="00BF6896"/>
    <w:rsid w:val="00BF69AD"/>
    <w:rsid w:val="00BF6B47"/>
    <w:rsid w:val="00BF6ED0"/>
    <w:rsid w:val="00C0045D"/>
    <w:rsid w:val="00C00B3E"/>
    <w:rsid w:val="00C018E4"/>
    <w:rsid w:val="00C01ECA"/>
    <w:rsid w:val="00C02690"/>
    <w:rsid w:val="00C02718"/>
    <w:rsid w:val="00C027B5"/>
    <w:rsid w:val="00C0322F"/>
    <w:rsid w:val="00C0351A"/>
    <w:rsid w:val="00C0393D"/>
    <w:rsid w:val="00C04044"/>
    <w:rsid w:val="00C04423"/>
    <w:rsid w:val="00C046CC"/>
    <w:rsid w:val="00C047CC"/>
    <w:rsid w:val="00C04A7E"/>
    <w:rsid w:val="00C04F39"/>
    <w:rsid w:val="00C0511D"/>
    <w:rsid w:val="00C053D0"/>
    <w:rsid w:val="00C0604D"/>
    <w:rsid w:val="00C06334"/>
    <w:rsid w:val="00C066D6"/>
    <w:rsid w:val="00C073AB"/>
    <w:rsid w:val="00C07A1C"/>
    <w:rsid w:val="00C07F18"/>
    <w:rsid w:val="00C10421"/>
    <w:rsid w:val="00C1073A"/>
    <w:rsid w:val="00C10B46"/>
    <w:rsid w:val="00C10CA7"/>
    <w:rsid w:val="00C1157A"/>
    <w:rsid w:val="00C11882"/>
    <w:rsid w:val="00C11E5B"/>
    <w:rsid w:val="00C12E28"/>
    <w:rsid w:val="00C138D0"/>
    <w:rsid w:val="00C13C4B"/>
    <w:rsid w:val="00C14AF3"/>
    <w:rsid w:val="00C15210"/>
    <w:rsid w:val="00C155B5"/>
    <w:rsid w:val="00C16B4B"/>
    <w:rsid w:val="00C16F29"/>
    <w:rsid w:val="00C17404"/>
    <w:rsid w:val="00C175A7"/>
    <w:rsid w:val="00C20797"/>
    <w:rsid w:val="00C20CCD"/>
    <w:rsid w:val="00C21625"/>
    <w:rsid w:val="00C216CA"/>
    <w:rsid w:val="00C21B57"/>
    <w:rsid w:val="00C21B62"/>
    <w:rsid w:val="00C22019"/>
    <w:rsid w:val="00C220AC"/>
    <w:rsid w:val="00C222DA"/>
    <w:rsid w:val="00C22B07"/>
    <w:rsid w:val="00C23518"/>
    <w:rsid w:val="00C23B27"/>
    <w:rsid w:val="00C23CEB"/>
    <w:rsid w:val="00C23DF1"/>
    <w:rsid w:val="00C26883"/>
    <w:rsid w:val="00C26A07"/>
    <w:rsid w:val="00C26FAF"/>
    <w:rsid w:val="00C27097"/>
    <w:rsid w:val="00C273D1"/>
    <w:rsid w:val="00C306BF"/>
    <w:rsid w:val="00C30E1A"/>
    <w:rsid w:val="00C32147"/>
    <w:rsid w:val="00C330DE"/>
    <w:rsid w:val="00C33B96"/>
    <w:rsid w:val="00C33C3C"/>
    <w:rsid w:val="00C33E6C"/>
    <w:rsid w:val="00C357E7"/>
    <w:rsid w:val="00C35A1C"/>
    <w:rsid w:val="00C35E58"/>
    <w:rsid w:val="00C36437"/>
    <w:rsid w:val="00C36A66"/>
    <w:rsid w:val="00C36B23"/>
    <w:rsid w:val="00C36E1A"/>
    <w:rsid w:val="00C3703F"/>
    <w:rsid w:val="00C37A6D"/>
    <w:rsid w:val="00C37C16"/>
    <w:rsid w:val="00C37F75"/>
    <w:rsid w:val="00C401E7"/>
    <w:rsid w:val="00C411C1"/>
    <w:rsid w:val="00C4174B"/>
    <w:rsid w:val="00C41858"/>
    <w:rsid w:val="00C418CD"/>
    <w:rsid w:val="00C424D0"/>
    <w:rsid w:val="00C426E9"/>
    <w:rsid w:val="00C4275B"/>
    <w:rsid w:val="00C42AD4"/>
    <w:rsid w:val="00C43A51"/>
    <w:rsid w:val="00C44FD3"/>
    <w:rsid w:val="00C45C7F"/>
    <w:rsid w:val="00C46327"/>
    <w:rsid w:val="00C463D0"/>
    <w:rsid w:val="00C465C4"/>
    <w:rsid w:val="00C46721"/>
    <w:rsid w:val="00C46EAD"/>
    <w:rsid w:val="00C50B52"/>
    <w:rsid w:val="00C53774"/>
    <w:rsid w:val="00C54A68"/>
    <w:rsid w:val="00C54C02"/>
    <w:rsid w:val="00C55D15"/>
    <w:rsid w:val="00C56459"/>
    <w:rsid w:val="00C5691A"/>
    <w:rsid w:val="00C572CD"/>
    <w:rsid w:val="00C57339"/>
    <w:rsid w:val="00C574D6"/>
    <w:rsid w:val="00C574E2"/>
    <w:rsid w:val="00C57616"/>
    <w:rsid w:val="00C57743"/>
    <w:rsid w:val="00C577A0"/>
    <w:rsid w:val="00C57A50"/>
    <w:rsid w:val="00C60B36"/>
    <w:rsid w:val="00C61A87"/>
    <w:rsid w:val="00C63CF0"/>
    <w:rsid w:val="00C645C0"/>
    <w:rsid w:val="00C64682"/>
    <w:rsid w:val="00C6558F"/>
    <w:rsid w:val="00C6590F"/>
    <w:rsid w:val="00C65BD0"/>
    <w:rsid w:val="00C65E33"/>
    <w:rsid w:val="00C660F2"/>
    <w:rsid w:val="00C66D04"/>
    <w:rsid w:val="00C6716F"/>
    <w:rsid w:val="00C67CC7"/>
    <w:rsid w:val="00C70F89"/>
    <w:rsid w:val="00C7198C"/>
    <w:rsid w:val="00C727BE"/>
    <w:rsid w:val="00C728DF"/>
    <w:rsid w:val="00C72B4B"/>
    <w:rsid w:val="00C72E79"/>
    <w:rsid w:val="00C72F8B"/>
    <w:rsid w:val="00C735C2"/>
    <w:rsid w:val="00C74127"/>
    <w:rsid w:val="00C74387"/>
    <w:rsid w:val="00C76C9F"/>
    <w:rsid w:val="00C76FB3"/>
    <w:rsid w:val="00C76FE6"/>
    <w:rsid w:val="00C7761A"/>
    <w:rsid w:val="00C776BE"/>
    <w:rsid w:val="00C77B5D"/>
    <w:rsid w:val="00C77CB1"/>
    <w:rsid w:val="00C802B5"/>
    <w:rsid w:val="00C81A96"/>
    <w:rsid w:val="00C81C29"/>
    <w:rsid w:val="00C820AC"/>
    <w:rsid w:val="00C8243A"/>
    <w:rsid w:val="00C841F4"/>
    <w:rsid w:val="00C849A5"/>
    <w:rsid w:val="00C84B98"/>
    <w:rsid w:val="00C84C8A"/>
    <w:rsid w:val="00C84EA6"/>
    <w:rsid w:val="00C84FC1"/>
    <w:rsid w:val="00C8713B"/>
    <w:rsid w:val="00C87F76"/>
    <w:rsid w:val="00C90015"/>
    <w:rsid w:val="00C91137"/>
    <w:rsid w:val="00C919E4"/>
    <w:rsid w:val="00C92010"/>
    <w:rsid w:val="00C9223A"/>
    <w:rsid w:val="00C92379"/>
    <w:rsid w:val="00C92957"/>
    <w:rsid w:val="00C92AE8"/>
    <w:rsid w:val="00C93172"/>
    <w:rsid w:val="00C93441"/>
    <w:rsid w:val="00C93A95"/>
    <w:rsid w:val="00C93BE9"/>
    <w:rsid w:val="00C93DB7"/>
    <w:rsid w:val="00C94A85"/>
    <w:rsid w:val="00C94ED3"/>
    <w:rsid w:val="00C95F0B"/>
    <w:rsid w:val="00C9617C"/>
    <w:rsid w:val="00C96DD2"/>
    <w:rsid w:val="00CA00B5"/>
    <w:rsid w:val="00CA0220"/>
    <w:rsid w:val="00CA049C"/>
    <w:rsid w:val="00CA060E"/>
    <w:rsid w:val="00CA1697"/>
    <w:rsid w:val="00CA1984"/>
    <w:rsid w:val="00CA24C2"/>
    <w:rsid w:val="00CA2CCE"/>
    <w:rsid w:val="00CA3FF2"/>
    <w:rsid w:val="00CA4DDA"/>
    <w:rsid w:val="00CA4EEE"/>
    <w:rsid w:val="00CA4F5C"/>
    <w:rsid w:val="00CA5305"/>
    <w:rsid w:val="00CA578A"/>
    <w:rsid w:val="00CA5981"/>
    <w:rsid w:val="00CA5F3B"/>
    <w:rsid w:val="00CA70E1"/>
    <w:rsid w:val="00CA744B"/>
    <w:rsid w:val="00CA7D54"/>
    <w:rsid w:val="00CB0013"/>
    <w:rsid w:val="00CB0A43"/>
    <w:rsid w:val="00CB0DE7"/>
    <w:rsid w:val="00CB169B"/>
    <w:rsid w:val="00CB1FA7"/>
    <w:rsid w:val="00CB2057"/>
    <w:rsid w:val="00CB22B5"/>
    <w:rsid w:val="00CB2419"/>
    <w:rsid w:val="00CB2811"/>
    <w:rsid w:val="00CB2D40"/>
    <w:rsid w:val="00CB2EF8"/>
    <w:rsid w:val="00CB3716"/>
    <w:rsid w:val="00CB3B2F"/>
    <w:rsid w:val="00CB3DA9"/>
    <w:rsid w:val="00CB4506"/>
    <w:rsid w:val="00CB45A7"/>
    <w:rsid w:val="00CB4766"/>
    <w:rsid w:val="00CB4FCB"/>
    <w:rsid w:val="00CB53A2"/>
    <w:rsid w:val="00CB5410"/>
    <w:rsid w:val="00CB5D14"/>
    <w:rsid w:val="00CB64DC"/>
    <w:rsid w:val="00CB6952"/>
    <w:rsid w:val="00CB7FE9"/>
    <w:rsid w:val="00CC0417"/>
    <w:rsid w:val="00CC23F7"/>
    <w:rsid w:val="00CC2F28"/>
    <w:rsid w:val="00CC347D"/>
    <w:rsid w:val="00CC3615"/>
    <w:rsid w:val="00CC3B82"/>
    <w:rsid w:val="00CC6521"/>
    <w:rsid w:val="00CC71EE"/>
    <w:rsid w:val="00CC757E"/>
    <w:rsid w:val="00CD06F9"/>
    <w:rsid w:val="00CD077C"/>
    <w:rsid w:val="00CD19B9"/>
    <w:rsid w:val="00CD2ACB"/>
    <w:rsid w:val="00CD3600"/>
    <w:rsid w:val="00CD3BD3"/>
    <w:rsid w:val="00CD3D26"/>
    <w:rsid w:val="00CD4174"/>
    <w:rsid w:val="00CD4461"/>
    <w:rsid w:val="00CD4688"/>
    <w:rsid w:val="00CD49E6"/>
    <w:rsid w:val="00CD4F37"/>
    <w:rsid w:val="00CD5108"/>
    <w:rsid w:val="00CD5198"/>
    <w:rsid w:val="00CD523C"/>
    <w:rsid w:val="00CD52B2"/>
    <w:rsid w:val="00CD5D15"/>
    <w:rsid w:val="00CD6022"/>
    <w:rsid w:val="00CD6468"/>
    <w:rsid w:val="00CD70B3"/>
    <w:rsid w:val="00CD7154"/>
    <w:rsid w:val="00CD731A"/>
    <w:rsid w:val="00CD7722"/>
    <w:rsid w:val="00CE07E2"/>
    <w:rsid w:val="00CE085F"/>
    <w:rsid w:val="00CE0E1B"/>
    <w:rsid w:val="00CE0EDE"/>
    <w:rsid w:val="00CE1707"/>
    <w:rsid w:val="00CE190B"/>
    <w:rsid w:val="00CE1AB8"/>
    <w:rsid w:val="00CE1DB4"/>
    <w:rsid w:val="00CE1DBB"/>
    <w:rsid w:val="00CE3033"/>
    <w:rsid w:val="00CE3B2B"/>
    <w:rsid w:val="00CE4956"/>
    <w:rsid w:val="00CE526B"/>
    <w:rsid w:val="00CE53F4"/>
    <w:rsid w:val="00CE57FC"/>
    <w:rsid w:val="00CE5A8B"/>
    <w:rsid w:val="00CE5CF9"/>
    <w:rsid w:val="00CE5FD7"/>
    <w:rsid w:val="00CE6044"/>
    <w:rsid w:val="00CE63D5"/>
    <w:rsid w:val="00CE7246"/>
    <w:rsid w:val="00CE7A3D"/>
    <w:rsid w:val="00CE7C49"/>
    <w:rsid w:val="00CE7FFC"/>
    <w:rsid w:val="00CF019C"/>
    <w:rsid w:val="00CF1559"/>
    <w:rsid w:val="00CF1E29"/>
    <w:rsid w:val="00CF1E4C"/>
    <w:rsid w:val="00CF250E"/>
    <w:rsid w:val="00CF3B52"/>
    <w:rsid w:val="00CF3C81"/>
    <w:rsid w:val="00CF3E18"/>
    <w:rsid w:val="00CF415F"/>
    <w:rsid w:val="00CF4A6A"/>
    <w:rsid w:val="00CF57A4"/>
    <w:rsid w:val="00CF5DAA"/>
    <w:rsid w:val="00CF63CE"/>
    <w:rsid w:val="00CF705D"/>
    <w:rsid w:val="00CF7449"/>
    <w:rsid w:val="00D004EE"/>
    <w:rsid w:val="00D01837"/>
    <w:rsid w:val="00D01DF3"/>
    <w:rsid w:val="00D03750"/>
    <w:rsid w:val="00D03782"/>
    <w:rsid w:val="00D03A66"/>
    <w:rsid w:val="00D03D8D"/>
    <w:rsid w:val="00D04192"/>
    <w:rsid w:val="00D0461B"/>
    <w:rsid w:val="00D0619F"/>
    <w:rsid w:val="00D062F9"/>
    <w:rsid w:val="00D073DF"/>
    <w:rsid w:val="00D0770E"/>
    <w:rsid w:val="00D07B39"/>
    <w:rsid w:val="00D07C5E"/>
    <w:rsid w:val="00D12679"/>
    <w:rsid w:val="00D12A21"/>
    <w:rsid w:val="00D13B18"/>
    <w:rsid w:val="00D145CD"/>
    <w:rsid w:val="00D145F6"/>
    <w:rsid w:val="00D1479C"/>
    <w:rsid w:val="00D147FA"/>
    <w:rsid w:val="00D14A56"/>
    <w:rsid w:val="00D14C16"/>
    <w:rsid w:val="00D14D58"/>
    <w:rsid w:val="00D150CE"/>
    <w:rsid w:val="00D15AE6"/>
    <w:rsid w:val="00D1607E"/>
    <w:rsid w:val="00D1624C"/>
    <w:rsid w:val="00D16ABA"/>
    <w:rsid w:val="00D172D6"/>
    <w:rsid w:val="00D20172"/>
    <w:rsid w:val="00D2121C"/>
    <w:rsid w:val="00D21676"/>
    <w:rsid w:val="00D220B2"/>
    <w:rsid w:val="00D224B7"/>
    <w:rsid w:val="00D22D26"/>
    <w:rsid w:val="00D23077"/>
    <w:rsid w:val="00D234B4"/>
    <w:rsid w:val="00D235AE"/>
    <w:rsid w:val="00D23BBF"/>
    <w:rsid w:val="00D2424D"/>
    <w:rsid w:val="00D243A8"/>
    <w:rsid w:val="00D24AE1"/>
    <w:rsid w:val="00D25137"/>
    <w:rsid w:val="00D25245"/>
    <w:rsid w:val="00D26B6C"/>
    <w:rsid w:val="00D26D7D"/>
    <w:rsid w:val="00D27635"/>
    <w:rsid w:val="00D279FE"/>
    <w:rsid w:val="00D27A47"/>
    <w:rsid w:val="00D30EBA"/>
    <w:rsid w:val="00D3157C"/>
    <w:rsid w:val="00D319D7"/>
    <w:rsid w:val="00D31E4B"/>
    <w:rsid w:val="00D31F69"/>
    <w:rsid w:val="00D32168"/>
    <w:rsid w:val="00D326BD"/>
    <w:rsid w:val="00D32859"/>
    <w:rsid w:val="00D32B1A"/>
    <w:rsid w:val="00D33204"/>
    <w:rsid w:val="00D333A0"/>
    <w:rsid w:val="00D34F8E"/>
    <w:rsid w:val="00D35035"/>
    <w:rsid w:val="00D353DD"/>
    <w:rsid w:val="00D35BEB"/>
    <w:rsid w:val="00D3665E"/>
    <w:rsid w:val="00D36C07"/>
    <w:rsid w:val="00D36D6F"/>
    <w:rsid w:val="00D3716E"/>
    <w:rsid w:val="00D40122"/>
    <w:rsid w:val="00D40684"/>
    <w:rsid w:val="00D40BDF"/>
    <w:rsid w:val="00D40C44"/>
    <w:rsid w:val="00D41178"/>
    <w:rsid w:val="00D414B6"/>
    <w:rsid w:val="00D41543"/>
    <w:rsid w:val="00D417E1"/>
    <w:rsid w:val="00D41B27"/>
    <w:rsid w:val="00D42058"/>
    <w:rsid w:val="00D4226B"/>
    <w:rsid w:val="00D4265E"/>
    <w:rsid w:val="00D42888"/>
    <w:rsid w:val="00D42D9A"/>
    <w:rsid w:val="00D44582"/>
    <w:rsid w:val="00D4479F"/>
    <w:rsid w:val="00D4586E"/>
    <w:rsid w:val="00D465EA"/>
    <w:rsid w:val="00D4751D"/>
    <w:rsid w:val="00D475D1"/>
    <w:rsid w:val="00D50800"/>
    <w:rsid w:val="00D50E3E"/>
    <w:rsid w:val="00D518B0"/>
    <w:rsid w:val="00D51DC5"/>
    <w:rsid w:val="00D53636"/>
    <w:rsid w:val="00D53F90"/>
    <w:rsid w:val="00D54F9F"/>
    <w:rsid w:val="00D55595"/>
    <w:rsid w:val="00D5631C"/>
    <w:rsid w:val="00D56785"/>
    <w:rsid w:val="00D56CA6"/>
    <w:rsid w:val="00D573D2"/>
    <w:rsid w:val="00D57919"/>
    <w:rsid w:val="00D57CF8"/>
    <w:rsid w:val="00D6001E"/>
    <w:rsid w:val="00D60397"/>
    <w:rsid w:val="00D6071D"/>
    <w:rsid w:val="00D60BD8"/>
    <w:rsid w:val="00D61DE2"/>
    <w:rsid w:val="00D63E82"/>
    <w:rsid w:val="00D6401A"/>
    <w:rsid w:val="00D64496"/>
    <w:rsid w:val="00D6530C"/>
    <w:rsid w:val="00D65B46"/>
    <w:rsid w:val="00D65BA6"/>
    <w:rsid w:val="00D65F3A"/>
    <w:rsid w:val="00D65FC5"/>
    <w:rsid w:val="00D66580"/>
    <w:rsid w:val="00D670D9"/>
    <w:rsid w:val="00D675E9"/>
    <w:rsid w:val="00D67D89"/>
    <w:rsid w:val="00D67FED"/>
    <w:rsid w:val="00D70E2E"/>
    <w:rsid w:val="00D71155"/>
    <w:rsid w:val="00D715E1"/>
    <w:rsid w:val="00D71873"/>
    <w:rsid w:val="00D71EFF"/>
    <w:rsid w:val="00D726A6"/>
    <w:rsid w:val="00D72D98"/>
    <w:rsid w:val="00D72F14"/>
    <w:rsid w:val="00D742D8"/>
    <w:rsid w:val="00D7464D"/>
    <w:rsid w:val="00D74F81"/>
    <w:rsid w:val="00D7542B"/>
    <w:rsid w:val="00D75477"/>
    <w:rsid w:val="00D75AEB"/>
    <w:rsid w:val="00D75F9A"/>
    <w:rsid w:val="00D75FEF"/>
    <w:rsid w:val="00D764CC"/>
    <w:rsid w:val="00D76620"/>
    <w:rsid w:val="00D76AB5"/>
    <w:rsid w:val="00D77760"/>
    <w:rsid w:val="00D77AE9"/>
    <w:rsid w:val="00D80048"/>
    <w:rsid w:val="00D80D2A"/>
    <w:rsid w:val="00D81002"/>
    <w:rsid w:val="00D81476"/>
    <w:rsid w:val="00D8181E"/>
    <w:rsid w:val="00D8287C"/>
    <w:rsid w:val="00D83857"/>
    <w:rsid w:val="00D8516A"/>
    <w:rsid w:val="00D856EB"/>
    <w:rsid w:val="00D86081"/>
    <w:rsid w:val="00D866FB"/>
    <w:rsid w:val="00D86FA3"/>
    <w:rsid w:val="00D87901"/>
    <w:rsid w:val="00D87F6E"/>
    <w:rsid w:val="00D90404"/>
    <w:rsid w:val="00D90582"/>
    <w:rsid w:val="00D905EC"/>
    <w:rsid w:val="00D90A7E"/>
    <w:rsid w:val="00D90D09"/>
    <w:rsid w:val="00D91398"/>
    <w:rsid w:val="00D9153B"/>
    <w:rsid w:val="00D91760"/>
    <w:rsid w:val="00D928B5"/>
    <w:rsid w:val="00D9304A"/>
    <w:rsid w:val="00D9325F"/>
    <w:rsid w:val="00D9327C"/>
    <w:rsid w:val="00D9389A"/>
    <w:rsid w:val="00D93BB6"/>
    <w:rsid w:val="00D93C41"/>
    <w:rsid w:val="00D94EB8"/>
    <w:rsid w:val="00D957B5"/>
    <w:rsid w:val="00D95E6B"/>
    <w:rsid w:val="00D9636D"/>
    <w:rsid w:val="00D966B4"/>
    <w:rsid w:val="00D96A07"/>
    <w:rsid w:val="00D97B08"/>
    <w:rsid w:val="00DA049B"/>
    <w:rsid w:val="00DA08BE"/>
    <w:rsid w:val="00DA0D33"/>
    <w:rsid w:val="00DA1346"/>
    <w:rsid w:val="00DA1B0C"/>
    <w:rsid w:val="00DA1BAC"/>
    <w:rsid w:val="00DA2053"/>
    <w:rsid w:val="00DA23D6"/>
    <w:rsid w:val="00DA2DB8"/>
    <w:rsid w:val="00DA3C73"/>
    <w:rsid w:val="00DA4AF4"/>
    <w:rsid w:val="00DA5923"/>
    <w:rsid w:val="00DA5E4D"/>
    <w:rsid w:val="00DA6C5C"/>
    <w:rsid w:val="00DA74F6"/>
    <w:rsid w:val="00DA78C1"/>
    <w:rsid w:val="00DA7D5B"/>
    <w:rsid w:val="00DB0461"/>
    <w:rsid w:val="00DB0845"/>
    <w:rsid w:val="00DB1F6F"/>
    <w:rsid w:val="00DB20FC"/>
    <w:rsid w:val="00DB250A"/>
    <w:rsid w:val="00DB2656"/>
    <w:rsid w:val="00DB2C9C"/>
    <w:rsid w:val="00DB484D"/>
    <w:rsid w:val="00DB484F"/>
    <w:rsid w:val="00DB5032"/>
    <w:rsid w:val="00DB50AC"/>
    <w:rsid w:val="00DB50E8"/>
    <w:rsid w:val="00DB5375"/>
    <w:rsid w:val="00DB554E"/>
    <w:rsid w:val="00DB575B"/>
    <w:rsid w:val="00DB5BA1"/>
    <w:rsid w:val="00DB62A7"/>
    <w:rsid w:val="00DB7A6D"/>
    <w:rsid w:val="00DB7A88"/>
    <w:rsid w:val="00DC01E5"/>
    <w:rsid w:val="00DC064A"/>
    <w:rsid w:val="00DC0FA2"/>
    <w:rsid w:val="00DC1AF1"/>
    <w:rsid w:val="00DC1E36"/>
    <w:rsid w:val="00DC3064"/>
    <w:rsid w:val="00DC3399"/>
    <w:rsid w:val="00DC3BB0"/>
    <w:rsid w:val="00DC3F37"/>
    <w:rsid w:val="00DC40C7"/>
    <w:rsid w:val="00DC5195"/>
    <w:rsid w:val="00DC5971"/>
    <w:rsid w:val="00DC718F"/>
    <w:rsid w:val="00DD0063"/>
    <w:rsid w:val="00DD1C7C"/>
    <w:rsid w:val="00DD281F"/>
    <w:rsid w:val="00DD2832"/>
    <w:rsid w:val="00DD302F"/>
    <w:rsid w:val="00DD32C5"/>
    <w:rsid w:val="00DD4086"/>
    <w:rsid w:val="00DD5185"/>
    <w:rsid w:val="00DD5192"/>
    <w:rsid w:val="00DD526A"/>
    <w:rsid w:val="00DD61A6"/>
    <w:rsid w:val="00DD640F"/>
    <w:rsid w:val="00DD6CE8"/>
    <w:rsid w:val="00DD7258"/>
    <w:rsid w:val="00DD7481"/>
    <w:rsid w:val="00DD79C6"/>
    <w:rsid w:val="00DD7FE6"/>
    <w:rsid w:val="00DE0C4F"/>
    <w:rsid w:val="00DE0CF2"/>
    <w:rsid w:val="00DE110B"/>
    <w:rsid w:val="00DE153B"/>
    <w:rsid w:val="00DE1C35"/>
    <w:rsid w:val="00DE1D53"/>
    <w:rsid w:val="00DE21BD"/>
    <w:rsid w:val="00DE24A6"/>
    <w:rsid w:val="00DE296E"/>
    <w:rsid w:val="00DE2D0C"/>
    <w:rsid w:val="00DE2DAF"/>
    <w:rsid w:val="00DE306A"/>
    <w:rsid w:val="00DE312A"/>
    <w:rsid w:val="00DE381E"/>
    <w:rsid w:val="00DE3943"/>
    <w:rsid w:val="00DE40B2"/>
    <w:rsid w:val="00DE4EE7"/>
    <w:rsid w:val="00DE5292"/>
    <w:rsid w:val="00DE58FA"/>
    <w:rsid w:val="00DE60CC"/>
    <w:rsid w:val="00DE6204"/>
    <w:rsid w:val="00DE6F8B"/>
    <w:rsid w:val="00DE7498"/>
    <w:rsid w:val="00DE7612"/>
    <w:rsid w:val="00DE7777"/>
    <w:rsid w:val="00DE7BFA"/>
    <w:rsid w:val="00DE7F2C"/>
    <w:rsid w:val="00DF0B58"/>
    <w:rsid w:val="00DF1FED"/>
    <w:rsid w:val="00DF25BB"/>
    <w:rsid w:val="00DF2795"/>
    <w:rsid w:val="00DF2C92"/>
    <w:rsid w:val="00DF2D26"/>
    <w:rsid w:val="00DF3776"/>
    <w:rsid w:val="00DF51A9"/>
    <w:rsid w:val="00DF54F8"/>
    <w:rsid w:val="00DF57A3"/>
    <w:rsid w:val="00DF5AB6"/>
    <w:rsid w:val="00DF5F07"/>
    <w:rsid w:val="00DF687F"/>
    <w:rsid w:val="00DF7309"/>
    <w:rsid w:val="00DF77ED"/>
    <w:rsid w:val="00DF7DB9"/>
    <w:rsid w:val="00E003D5"/>
    <w:rsid w:val="00E00824"/>
    <w:rsid w:val="00E0096E"/>
    <w:rsid w:val="00E0111D"/>
    <w:rsid w:val="00E01567"/>
    <w:rsid w:val="00E015F8"/>
    <w:rsid w:val="00E01735"/>
    <w:rsid w:val="00E02170"/>
    <w:rsid w:val="00E0334A"/>
    <w:rsid w:val="00E03AF9"/>
    <w:rsid w:val="00E03D97"/>
    <w:rsid w:val="00E050FA"/>
    <w:rsid w:val="00E0566D"/>
    <w:rsid w:val="00E05755"/>
    <w:rsid w:val="00E06F39"/>
    <w:rsid w:val="00E07410"/>
    <w:rsid w:val="00E109C6"/>
    <w:rsid w:val="00E11AAC"/>
    <w:rsid w:val="00E11FC3"/>
    <w:rsid w:val="00E12C2B"/>
    <w:rsid w:val="00E1300E"/>
    <w:rsid w:val="00E132DA"/>
    <w:rsid w:val="00E1424D"/>
    <w:rsid w:val="00E14276"/>
    <w:rsid w:val="00E14ECA"/>
    <w:rsid w:val="00E15045"/>
    <w:rsid w:val="00E150D3"/>
    <w:rsid w:val="00E1558A"/>
    <w:rsid w:val="00E16020"/>
    <w:rsid w:val="00E174B0"/>
    <w:rsid w:val="00E17A91"/>
    <w:rsid w:val="00E20208"/>
    <w:rsid w:val="00E202D7"/>
    <w:rsid w:val="00E20458"/>
    <w:rsid w:val="00E206B0"/>
    <w:rsid w:val="00E2140F"/>
    <w:rsid w:val="00E2163F"/>
    <w:rsid w:val="00E22772"/>
    <w:rsid w:val="00E234CA"/>
    <w:rsid w:val="00E24AC1"/>
    <w:rsid w:val="00E25645"/>
    <w:rsid w:val="00E25BD5"/>
    <w:rsid w:val="00E26678"/>
    <w:rsid w:val="00E26ABA"/>
    <w:rsid w:val="00E278C5"/>
    <w:rsid w:val="00E27A7B"/>
    <w:rsid w:val="00E30B54"/>
    <w:rsid w:val="00E31749"/>
    <w:rsid w:val="00E31D33"/>
    <w:rsid w:val="00E31DD1"/>
    <w:rsid w:val="00E3237A"/>
    <w:rsid w:val="00E32393"/>
    <w:rsid w:val="00E328BC"/>
    <w:rsid w:val="00E328D0"/>
    <w:rsid w:val="00E32BC6"/>
    <w:rsid w:val="00E32F03"/>
    <w:rsid w:val="00E334F6"/>
    <w:rsid w:val="00E338B4"/>
    <w:rsid w:val="00E33ED2"/>
    <w:rsid w:val="00E33F3C"/>
    <w:rsid w:val="00E34032"/>
    <w:rsid w:val="00E3513B"/>
    <w:rsid w:val="00E3527D"/>
    <w:rsid w:val="00E3757C"/>
    <w:rsid w:val="00E37B7D"/>
    <w:rsid w:val="00E37C68"/>
    <w:rsid w:val="00E37F79"/>
    <w:rsid w:val="00E4052B"/>
    <w:rsid w:val="00E405E0"/>
    <w:rsid w:val="00E40DCA"/>
    <w:rsid w:val="00E4197A"/>
    <w:rsid w:val="00E4201F"/>
    <w:rsid w:val="00E4206D"/>
    <w:rsid w:val="00E425A5"/>
    <w:rsid w:val="00E4264F"/>
    <w:rsid w:val="00E42CAE"/>
    <w:rsid w:val="00E43222"/>
    <w:rsid w:val="00E434A7"/>
    <w:rsid w:val="00E434D5"/>
    <w:rsid w:val="00E43657"/>
    <w:rsid w:val="00E43871"/>
    <w:rsid w:val="00E439E0"/>
    <w:rsid w:val="00E43B3A"/>
    <w:rsid w:val="00E44101"/>
    <w:rsid w:val="00E44C77"/>
    <w:rsid w:val="00E44F0F"/>
    <w:rsid w:val="00E45D08"/>
    <w:rsid w:val="00E4657E"/>
    <w:rsid w:val="00E465D3"/>
    <w:rsid w:val="00E46B67"/>
    <w:rsid w:val="00E470B0"/>
    <w:rsid w:val="00E47AA6"/>
    <w:rsid w:val="00E47C74"/>
    <w:rsid w:val="00E47F9C"/>
    <w:rsid w:val="00E50119"/>
    <w:rsid w:val="00E51458"/>
    <w:rsid w:val="00E51E26"/>
    <w:rsid w:val="00E52632"/>
    <w:rsid w:val="00E53A97"/>
    <w:rsid w:val="00E53E70"/>
    <w:rsid w:val="00E5455E"/>
    <w:rsid w:val="00E554E5"/>
    <w:rsid w:val="00E55ED8"/>
    <w:rsid w:val="00E56337"/>
    <w:rsid w:val="00E5668D"/>
    <w:rsid w:val="00E56DF6"/>
    <w:rsid w:val="00E57575"/>
    <w:rsid w:val="00E57F38"/>
    <w:rsid w:val="00E60491"/>
    <w:rsid w:val="00E60A9B"/>
    <w:rsid w:val="00E60CA6"/>
    <w:rsid w:val="00E618C4"/>
    <w:rsid w:val="00E61B2A"/>
    <w:rsid w:val="00E626B1"/>
    <w:rsid w:val="00E62F45"/>
    <w:rsid w:val="00E634DD"/>
    <w:rsid w:val="00E63E6A"/>
    <w:rsid w:val="00E64BDA"/>
    <w:rsid w:val="00E64D0D"/>
    <w:rsid w:val="00E6554E"/>
    <w:rsid w:val="00E6751B"/>
    <w:rsid w:val="00E67A2C"/>
    <w:rsid w:val="00E67E66"/>
    <w:rsid w:val="00E7002E"/>
    <w:rsid w:val="00E701B0"/>
    <w:rsid w:val="00E71A20"/>
    <w:rsid w:val="00E71E5B"/>
    <w:rsid w:val="00E71E9C"/>
    <w:rsid w:val="00E72055"/>
    <w:rsid w:val="00E7218C"/>
    <w:rsid w:val="00E7219F"/>
    <w:rsid w:val="00E7280D"/>
    <w:rsid w:val="00E7292F"/>
    <w:rsid w:val="00E72B75"/>
    <w:rsid w:val="00E738D1"/>
    <w:rsid w:val="00E73FE9"/>
    <w:rsid w:val="00E75000"/>
    <w:rsid w:val="00E751D0"/>
    <w:rsid w:val="00E752F4"/>
    <w:rsid w:val="00E7657A"/>
    <w:rsid w:val="00E76A4A"/>
    <w:rsid w:val="00E77BDE"/>
    <w:rsid w:val="00E805CB"/>
    <w:rsid w:val="00E80A33"/>
    <w:rsid w:val="00E8119F"/>
    <w:rsid w:val="00E82098"/>
    <w:rsid w:val="00E8216F"/>
    <w:rsid w:val="00E82372"/>
    <w:rsid w:val="00E82491"/>
    <w:rsid w:val="00E82525"/>
    <w:rsid w:val="00E82730"/>
    <w:rsid w:val="00E82739"/>
    <w:rsid w:val="00E82808"/>
    <w:rsid w:val="00E83542"/>
    <w:rsid w:val="00E83A20"/>
    <w:rsid w:val="00E84723"/>
    <w:rsid w:val="00E8527A"/>
    <w:rsid w:val="00E85A9B"/>
    <w:rsid w:val="00E86EAD"/>
    <w:rsid w:val="00E8700F"/>
    <w:rsid w:val="00E87338"/>
    <w:rsid w:val="00E90C81"/>
    <w:rsid w:val="00E90D2C"/>
    <w:rsid w:val="00E931A9"/>
    <w:rsid w:val="00E94442"/>
    <w:rsid w:val="00E9466A"/>
    <w:rsid w:val="00E94D67"/>
    <w:rsid w:val="00E962E0"/>
    <w:rsid w:val="00E963BB"/>
    <w:rsid w:val="00E96863"/>
    <w:rsid w:val="00E976CD"/>
    <w:rsid w:val="00EA0127"/>
    <w:rsid w:val="00EA0E41"/>
    <w:rsid w:val="00EA1264"/>
    <w:rsid w:val="00EA1C5E"/>
    <w:rsid w:val="00EA221E"/>
    <w:rsid w:val="00EA2278"/>
    <w:rsid w:val="00EA2904"/>
    <w:rsid w:val="00EA330F"/>
    <w:rsid w:val="00EA3959"/>
    <w:rsid w:val="00EA3DCE"/>
    <w:rsid w:val="00EA4819"/>
    <w:rsid w:val="00EA4BA3"/>
    <w:rsid w:val="00EA4CFB"/>
    <w:rsid w:val="00EA595A"/>
    <w:rsid w:val="00EB10D4"/>
    <w:rsid w:val="00EB1B47"/>
    <w:rsid w:val="00EB2939"/>
    <w:rsid w:val="00EB2E0E"/>
    <w:rsid w:val="00EB2FC4"/>
    <w:rsid w:val="00EB3BC0"/>
    <w:rsid w:val="00EB43DA"/>
    <w:rsid w:val="00EB509E"/>
    <w:rsid w:val="00EB58EB"/>
    <w:rsid w:val="00EB59E8"/>
    <w:rsid w:val="00EB660A"/>
    <w:rsid w:val="00EB6AA3"/>
    <w:rsid w:val="00EB6F1A"/>
    <w:rsid w:val="00EB79F7"/>
    <w:rsid w:val="00EB7DC8"/>
    <w:rsid w:val="00EB7E71"/>
    <w:rsid w:val="00EC0248"/>
    <w:rsid w:val="00EC063A"/>
    <w:rsid w:val="00EC0674"/>
    <w:rsid w:val="00EC1680"/>
    <w:rsid w:val="00EC1FF5"/>
    <w:rsid w:val="00EC2E88"/>
    <w:rsid w:val="00EC4005"/>
    <w:rsid w:val="00EC422A"/>
    <w:rsid w:val="00EC427C"/>
    <w:rsid w:val="00EC4680"/>
    <w:rsid w:val="00EC491D"/>
    <w:rsid w:val="00EC4948"/>
    <w:rsid w:val="00EC4A2F"/>
    <w:rsid w:val="00EC4BDD"/>
    <w:rsid w:val="00EC5510"/>
    <w:rsid w:val="00EC5B64"/>
    <w:rsid w:val="00EC601B"/>
    <w:rsid w:val="00EC7759"/>
    <w:rsid w:val="00EC78DA"/>
    <w:rsid w:val="00EC7D86"/>
    <w:rsid w:val="00ED19F1"/>
    <w:rsid w:val="00ED1A39"/>
    <w:rsid w:val="00ED1FAA"/>
    <w:rsid w:val="00ED39EA"/>
    <w:rsid w:val="00ED441D"/>
    <w:rsid w:val="00ED4B7C"/>
    <w:rsid w:val="00ED4C02"/>
    <w:rsid w:val="00ED4DCF"/>
    <w:rsid w:val="00ED505A"/>
    <w:rsid w:val="00ED5A99"/>
    <w:rsid w:val="00ED60BD"/>
    <w:rsid w:val="00ED6320"/>
    <w:rsid w:val="00ED7338"/>
    <w:rsid w:val="00ED7559"/>
    <w:rsid w:val="00EE0C47"/>
    <w:rsid w:val="00EE0E08"/>
    <w:rsid w:val="00EE167F"/>
    <w:rsid w:val="00EE1BDB"/>
    <w:rsid w:val="00EE1C82"/>
    <w:rsid w:val="00EE2341"/>
    <w:rsid w:val="00EE37ED"/>
    <w:rsid w:val="00EE3C23"/>
    <w:rsid w:val="00EE3E29"/>
    <w:rsid w:val="00EE3FDF"/>
    <w:rsid w:val="00EE4E6A"/>
    <w:rsid w:val="00EE544E"/>
    <w:rsid w:val="00EE6057"/>
    <w:rsid w:val="00EE6D56"/>
    <w:rsid w:val="00EE6EB7"/>
    <w:rsid w:val="00EE7722"/>
    <w:rsid w:val="00EE7744"/>
    <w:rsid w:val="00EF0098"/>
    <w:rsid w:val="00EF0AA1"/>
    <w:rsid w:val="00EF1BDB"/>
    <w:rsid w:val="00EF3BB2"/>
    <w:rsid w:val="00EF400D"/>
    <w:rsid w:val="00EF48F8"/>
    <w:rsid w:val="00EF49E9"/>
    <w:rsid w:val="00EF5D57"/>
    <w:rsid w:val="00EF6597"/>
    <w:rsid w:val="00EF6CBA"/>
    <w:rsid w:val="00EF6CEC"/>
    <w:rsid w:val="00EF6D18"/>
    <w:rsid w:val="00EF6F80"/>
    <w:rsid w:val="00EF77C5"/>
    <w:rsid w:val="00F0028D"/>
    <w:rsid w:val="00F00F77"/>
    <w:rsid w:val="00F010D5"/>
    <w:rsid w:val="00F0135B"/>
    <w:rsid w:val="00F01FCF"/>
    <w:rsid w:val="00F02088"/>
    <w:rsid w:val="00F02148"/>
    <w:rsid w:val="00F0214A"/>
    <w:rsid w:val="00F0228B"/>
    <w:rsid w:val="00F02760"/>
    <w:rsid w:val="00F02A8B"/>
    <w:rsid w:val="00F032AA"/>
    <w:rsid w:val="00F04538"/>
    <w:rsid w:val="00F04995"/>
    <w:rsid w:val="00F05452"/>
    <w:rsid w:val="00F06C2B"/>
    <w:rsid w:val="00F079DD"/>
    <w:rsid w:val="00F07C7A"/>
    <w:rsid w:val="00F100C5"/>
    <w:rsid w:val="00F101F8"/>
    <w:rsid w:val="00F10287"/>
    <w:rsid w:val="00F104F4"/>
    <w:rsid w:val="00F10CF8"/>
    <w:rsid w:val="00F11CBF"/>
    <w:rsid w:val="00F11D1F"/>
    <w:rsid w:val="00F11D68"/>
    <w:rsid w:val="00F1258A"/>
    <w:rsid w:val="00F1384E"/>
    <w:rsid w:val="00F13923"/>
    <w:rsid w:val="00F14366"/>
    <w:rsid w:val="00F14B50"/>
    <w:rsid w:val="00F15230"/>
    <w:rsid w:val="00F15278"/>
    <w:rsid w:val="00F15661"/>
    <w:rsid w:val="00F156A6"/>
    <w:rsid w:val="00F1598B"/>
    <w:rsid w:val="00F1652F"/>
    <w:rsid w:val="00F171EC"/>
    <w:rsid w:val="00F17706"/>
    <w:rsid w:val="00F2019C"/>
    <w:rsid w:val="00F20989"/>
    <w:rsid w:val="00F20C90"/>
    <w:rsid w:val="00F20E12"/>
    <w:rsid w:val="00F21B0A"/>
    <w:rsid w:val="00F2354B"/>
    <w:rsid w:val="00F23697"/>
    <w:rsid w:val="00F23859"/>
    <w:rsid w:val="00F23AF1"/>
    <w:rsid w:val="00F23E5E"/>
    <w:rsid w:val="00F23F9D"/>
    <w:rsid w:val="00F24B1E"/>
    <w:rsid w:val="00F24F60"/>
    <w:rsid w:val="00F25227"/>
    <w:rsid w:val="00F258FF"/>
    <w:rsid w:val="00F2599F"/>
    <w:rsid w:val="00F25C89"/>
    <w:rsid w:val="00F2695F"/>
    <w:rsid w:val="00F27346"/>
    <w:rsid w:val="00F2773B"/>
    <w:rsid w:val="00F27F0A"/>
    <w:rsid w:val="00F310E5"/>
    <w:rsid w:val="00F3159F"/>
    <w:rsid w:val="00F31948"/>
    <w:rsid w:val="00F32636"/>
    <w:rsid w:val="00F32659"/>
    <w:rsid w:val="00F34991"/>
    <w:rsid w:val="00F35AEE"/>
    <w:rsid w:val="00F3655F"/>
    <w:rsid w:val="00F36D78"/>
    <w:rsid w:val="00F401FB"/>
    <w:rsid w:val="00F40433"/>
    <w:rsid w:val="00F40B96"/>
    <w:rsid w:val="00F41D85"/>
    <w:rsid w:val="00F425A9"/>
    <w:rsid w:val="00F4326D"/>
    <w:rsid w:val="00F432D4"/>
    <w:rsid w:val="00F4447A"/>
    <w:rsid w:val="00F44516"/>
    <w:rsid w:val="00F44640"/>
    <w:rsid w:val="00F4478E"/>
    <w:rsid w:val="00F44AAE"/>
    <w:rsid w:val="00F44DFE"/>
    <w:rsid w:val="00F45032"/>
    <w:rsid w:val="00F45A9A"/>
    <w:rsid w:val="00F46072"/>
    <w:rsid w:val="00F460CA"/>
    <w:rsid w:val="00F473E9"/>
    <w:rsid w:val="00F4754B"/>
    <w:rsid w:val="00F50219"/>
    <w:rsid w:val="00F50D2E"/>
    <w:rsid w:val="00F51170"/>
    <w:rsid w:val="00F51813"/>
    <w:rsid w:val="00F51B57"/>
    <w:rsid w:val="00F53370"/>
    <w:rsid w:val="00F53942"/>
    <w:rsid w:val="00F54EF0"/>
    <w:rsid w:val="00F5509E"/>
    <w:rsid w:val="00F55261"/>
    <w:rsid w:val="00F55B48"/>
    <w:rsid w:val="00F566F2"/>
    <w:rsid w:val="00F56703"/>
    <w:rsid w:val="00F56E57"/>
    <w:rsid w:val="00F57134"/>
    <w:rsid w:val="00F57C8B"/>
    <w:rsid w:val="00F57D8F"/>
    <w:rsid w:val="00F57EBE"/>
    <w:rsid w:val="00F6079B"/>
    <w:rsid w:val="00F60869"/>
    <w:rsid w:val="00F60A53"/>
    <w:rsid w:val="00F61AEA"/>
    <w:rsid w:val="00F62390"/>
    <w:rsid w:val="00F63275"/>
    <w:rsid w:val="00F63483"/>
    <w:rsid w:val="00F642E8"/>
    <w:rsid w:val="00F662FE"/>
    <w:rsid w:val="00F665F6"/>
    <w:rsid w:val="00F66E03"/>
    <w:rsid w:val="00F6755A"/>
    <w:rsid w:val="00F67B6B"/>
    <w:rsid w:val="00F70DAC"/>
    <w:rsid w:val="00F70E80"/>
    <w:rsid w:val="00F71AF8"/>
    <w:rsid w:val="00F71FC1"/>
    <w:rsid w:val="00F725FA"/>
    <w:rsid w:val="00F72C43"/>
    <w:rsid w:val="00F72C5F"/>
    <w:rsid w:val="00F736A0"/>
    <w:rsid w:val="00F73730"/>
    <w:rsid w:val="00F73A56"/>
    <w:rsid w:val="00F73AF4"/>
    <w:rsid w:val="00F74281"/>
    <w:rsid w:val="00F7428D"/>
    <w:rsid w:val="00F7442A"/>
    <w:rsid w:val="00F74B7C"/>
    <w:rsid w:val="00F74F12"/>
    <w:rsid w:val="00F758CB"/>
    <w:rsid w:val="00F761B6"/>
    <w:rsid w:val="00F7671C"/>
    <w:rsid w:val="00F76DA6"/>
    <w:rsid w:val="00F76DF2"/>
    <w:rsid w:val="00F77961"/>
    <w:rsid w:val="00F77D09"/>
    <w:rsid w:val="00F80342"/>
    <w:rsid w:val="00F807F2"/>
    <w:rsid w:val="00F807FE"/>
    <w:rsid w:val="00F81782"/>
    <w:rsid w:val="00F81852"/>
    <w:rsid w:val="00F8194F"/>
    <w:rsid w:val="00F81EFF"/>
    <w:rsid w:val="00F82334"/>
    <w:rsid w:val="00F824F4"/>
    <w:rsid w:val="00F82522"/>
    <w:rsid w:val="00F82957"/>
    <w:rsid w:val="00F840F4"/>
    <w:rsid w:val="00F84A5C"/>
    <w:rsid w:val="00F84B94"/>
    <w:rsid w:val="00F85020"/>
    <w:rsid w:val="00F85922"/>
    <w:rsid w:val="00F85DF3"/>
    <w:rsid w:val="00F862C7"/>
    <w:rsid w:val="00F864D5"/>
    <w:rsid w:val="00F86DBB"/>
    <w:rsid w:val="00F87942"/>
    <w:rsid w:val="00F900D5"/>
    <w:rsid w:val="00F90307"/>
    <w:rsid w:val="00F9074C"/>
    <w:rsid w:val="00F92584"/>
    <w:rsid w:val="00F9352E"/>
    <w:rsid w:val="00F936B3"/>
    <w:rsid w:val="00F93826"/>
    <w:rsid w:val="00F94009"/>
    <w:rsid w:val="00F94BA4"/>
    <w:rsid w:val="00F94D9A"/>
    <w:rsid w:val="00F958A4"/>
    <w:rsid w:val="00F95A56"/>
    <w:rsid w:val="00F965F0"/>
    <w:rsid w:val="00F96F93"/>
    <w:rsid w:val="00F97046"/>
    <w:rsid w:val="00F972C3"/>
    <w:rsid w:val="00F972E7"/>
    <w:rsid w:val="00F97863"/>
    <w:rsid w:val="00F97911"/>
    <w:rsid w:val="00FA046F"/>
    <w:rsid w:val="00FA1078"/>
    <w:rsid w:val="00FA110A"/>
    <w:rsid w:val="00FA11F1"/>
    <w:rsid w:val="00FA157F"/>
    <w:rsid w:val="00FA186A"/>
    <w:rsid w:val="00FA189C"/>
    <w:rsid w:val="00FA1CD5"/>
    <w:rsid w:val="00FA2537"/>
    <w:rsid w:val="00FA25CB"/>
    <w:rsid w:val="00FA2CF9"/>
    <w:rsid w:val="00FA377E"/>
    <w:rsid w:val="00FA3CBF"/>
    <w:rsid w:val="00FA43F6"/>
    <w:rsid w:val="00FA5340"/>
    <w:rsid w:val="00FA5E92"/>
    <w:rsid w:val="00FA6039"/>
    <w:rsid w:val="00FA6762"/>
    <w:rsid w:val="00FA6871"/>
    <w:rsid w:val="00FA6F56"/>
    <w:rsid w:val="00FA7247"/>
    <w:rsid w:val="00FB01E3"/>
    <w:rsid w:val="00FB023A"/>
    <w:rsid w:val="00FB09F1"/>
    <w:rsid w:val="00FB1606"/>
    <w:rsid w:val="00FB1B2C"/>
    <w:rsid w:val="00FB1D8B"/>
    <w:rsid w:val="00FB20CF"/>
    <w:rsid w:val="00FB22F3"/>
    <w:rsid w:val="00FB2C08"/>
    <w:rsid w:val="00FB2CDC"/>
    <w:rsid w:val="00FB3566"/>
    <w:rsid w:val="00FB3685"/>
    <w:rsid w:val="00FB3E35"/>
    <w:rsid w:val="00FB3FB1"/>
    <w:rsid w:val="00FB53E5"/>
    <w:rsid w:val="00FB5DAF"/>
    <w:rsid w:val="00FB640B"/>
    <w:rsid w:val="00FB7372"/>
    <w:rsid w:val="00FB7578"/>
    <w:rsid w:val="00FB7733"/>
    <w:rsid w:val="00FC0012"/>
    <w:rsid w:val="00FC04B5"/>
    <w:rsid w:val="00FC134C"/>
    <w:rsid w:val="00FC1A81"/>
    <w:rsid w:val="00FC209E"/>
    <w:rsid w:val="00FC216B"/>
    <w:rsid w:val="00FC29BE"/>
    <w:rsid w:val="00FC2A60"/>
    <w:rsid w:val="00FC37A2"/>
    <w:rsid w:val="00FC3B9B"/>
    <w:rsid w:val="00FC3EA7"/>
    <w:rsid w:val="00FC3FE3"/>
    <w:rsid w:val="00FC4427"/>
    <w:rsid w:val="00FC605B"/>
    <w:rsid w:val="00FC6800"/>
    <w:rsid w:val="00FC6BFC"/>
    <w:rsid w:val="00FD0453"/>
    <w:rsid w:val="00FD0ABD"/>
    <w:rsid w:val="00FD1146"/>
    <w:rsid w:val="00FD189F"/>
    <w:rsid w:val="00FD1E3B"/>
    <w:rsid w:val="00FD39E4"/>
    <w:rsid w:val="00FD3FC1"/>
    <w:rsid w:val="00FD4527"/>
    <w:rsid w:val="00FD5907"/>
    <w:rsid w:val="00FD612F"/>
    <w:rsid w:val="00FD63A0"/>
    <w:rsid w:val="00FD6B64"/>
    <w:rsid w:val="00FD6BB3"/>
    <w:rsid w:val="00FE0D5B"/>
    <w:rsid w:val="00FE11C6"/>
    <w:rsid w:val="00FE1592"/>
    <w:rsid w:val="00FE1C5D"/>
    <w:rsid w:val="00FE1F2A"/>
    <w:rsid w:val="00FE2D5E"/>
    <w:rsid w:val="00FE3D9E"/>
    <w:rsid w:val="00FE3E90"/>
    <w:rsid w:val="00FE3F72"/>
    <w:rsid w:val="00FE5430"/>
    <w:rsid w:val="00FE56B4"/>
    <w:rsid w:val="00FE6600"/>
    <w:rsid w:val="00FE6690"/>
    <w:rsid w:val="00FE6B60"/>
    <w:rsid w:val="00FE6C4E"/>
    <w:rsid w:val="00FE7B7A"/>
    <w:rsid w:val="00FE7D69"/>
    <w:rsid w:val="00FF05D9"/>
    <w:rsid w:val="00FF0770"/>
    <w:rsid w:val="00FF111C"/>
    <w:rsid w:val="00FF238C"/>
    <w:rsid w:val="00FF260C"/>
    <w:rsid w:val="00FF2B3F"/>
    <w:rsid w:val="00FF2EBE"/>
    <w:rsid w:val="00FF2FEB"/>
    <w:rsid w:val="00FF30A3"/>
    <w:rsid w:val="00FF37A8"/>
    <w:rsid w:val="00FF53D5"/>
    <w:rsid w:val="00FF570D"/>
    <w:rsid w:val="00FF684D"/>
    <w:rsid w:val="00FF6EB6"/>
    <w:rsid w:val="00FF7072"/>
    <w:rsid w:val="00FF73B3"/>
    <w:rsid w:val="00FF74EF"/>
    <w:rsid w:val="00FF7620"/>
    <w:rsid w:val="00FF797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62D15"/>
  <w15:docId w15:val="{EB4A690B-F491-492B-BF06-E4F5A5CB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07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07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07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03407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  <w:lang w:val="uk-UA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07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2B5"/>
    <w:rPr>
      <w:color w:val="0000FF" w:themeColor="hyperlink"/>
      <w:u w:val="single"/>
    </w:rPr>
  </w:style>
  <w:style w:type="paragraph" w:customStyle="1" w:styleId="a4">
    <w:name w:val="Без інтервалів"/>
    <w:uiPriority w:val="1"/>
    <w:qFormat/>
    <w:rsid w:val="00745D2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ext1">
    <w:name w:val="Text 1"/>
    <w:basedOn w:val="a"/>
    <w:rsid w:val="0022123A"/>
    <w:pPr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4"/>
      <w:szCs w:val="20"/>
      <w:lang w:val="en-US" w:eastAsia="en-GB"/>
    </w:rPr>
  </w:style>
  <w:style w:type="character" w:customStyle="1" w:styleId="10">
    <w:name w:val="Заголовок 1 Знак"/>
    <w:basedOn w:val="a0"/>
    <w:link w:val="1"/>
    <w:uiPriority w:val="9"/>
    <w:rsid w:val="0003407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3407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3407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03407C"/>
    <w:rPr>
      <w:rFonts w:ascii="Times New Roman" w:eastAsia="Times New Roman" w:hAnsi="Times New Roman" w:cs="Times New Roman"/>
      <w:sz w:val="24"/>
      <w:szCs w:val="24"/>
      <w:u w:val="single"/>
      <w:lang w:val="uk-UA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3407C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3407C"/>
  </w:style>
  <w:style w:type="paragraph" w:styleId="a5">
    <w:name w:val="footer"/>
    <w:basedOn w:val="a"/>
    <w:link w:val="a6"/>
    <w:rsid w:val="0003407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en-US"/>
    </w:rPr>
  </w:style>
  <w:style w:type="character" w:customStyle="1" w:styleId="a6">
    <w:name w:val="Нижний колонтитул Знак"/>
    <w:basedOn w:val="a0"/>
    <w:link w:val="a5"/>
    <w:rsid w:val="0003407C"/>
    <w:rPr>
      <w:rFonts w:ascii="Calibri" w:eastAsia="Calibri" w:hAnsi="Calibri" w:cs="Times New Roman"/>
      <w:lang w:val="en-US"/>
    </w:rPr>
  </w:style>
  <w:style w:type="character" w:styleId="a7">
    <w:name w:val="page number"/>
    <w:basedOn w:val="a0"/>
    <w:rsid w:val="0003407C"/>
  </w:style>
  <w:style w:type="paragraph" w:styleId="a8">
    <w:name w:val="Balloon Text"/>
    <w:basedOn w:val="a"/>
    <w:link w:val="a9"/>
    <w:semiHidden/>
    <w:rsid w:val="0003407C"/>
    <w:rPr>
      <w:rFonts w:ascii="Tahoma" w:eastAsia="Calibri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semiHidden/>
    <w:rsid w:val="0003407C"/>
    <w:rPr>
      <w:rFonts w:ascii="Tahoma" w:eastAsia="Calibri" w:hAnsi="Tahoma" w:cs="Tahoma"/>
      <w:sz w:val="16"/>
      <w:szCs w:val="16"/>
      <w:lang w:val="en-US"/>
    </w:rPr>
  </w:style>
  <w:style w:type="character" w:customStyle="1" w:styleId="FontStyle42">
    <w:name w:val="Font Style42"/>
    <w:rsid w:val="0003407C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034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03407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7">
    <w:name w:val="Style7"/>
    <w:basedOn w:val="a"/>
    <w:rsid w:val="0003407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03407C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03407C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03407C"/>
    <w:pPr>
      <w:widowControl w:val="0"/>
      <w:autoSpaceDE w:val="0"/>
      <w:autoSpaceDN w:val="0"/>
      <w:adjustRightInd w:val="0"/>
      <w:spacing w:after="0" w:line="206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3407C"/>
    <w:pPr>
      <w:widowControl w:val="0"/>
      <w:autoSpaceDE w:val="0"/>
      <w:autoSpaceDN w:val="0"/>
      <w:adjustRightInd w:val="0"/>
      <w:spacing w:after="0" w:line="2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03407C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03407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03407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1">
    <w:name w:val="Font Style41"/>
    <w:rsid w:val="0003407C"/>
    <w:rPr>
      <w:rFonts w:ascii="Times New Roman" w:hAnsi="Times New Roman" w:cs="Times New Roman"/>
      <w:b/>
      <w:bCs/>
      <w:sz w:val="20"/>
      <w:szCs w:val="20"/>
    </w:rPr>
  </w:style>
  <w:style w:type="character" w:styleId="ab">
    <w:name w:val="annotation reference"/>
    <w:semiHidden/>
    <w:rsid w:val="0003407C"/>
    <w:rPr>
      <w:sz w:val="16"/>
      <w:szCs w:val="16"/>
    </w:rPr>
  </w:style>
  <w:style w:type="paragraph" w:styleId="ac">
    <w:name w:val="annotation text"/>
    <w:basedOn w:val="a"/>
    <w:link w:val="ad"/>
    <w:semiHidden/>
    <w:rsid w:val="0003407C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d">
    <w:name w:val="Текст примечания Знак"/>
    <w:basedOn w:val="a0"/>
    <w:link w:val="ac"/>
    <w:semiHidden/>
    <w:rsid w:val="0003407C"/>
    <w:rPr>
      <w:rFonts w:ascii="Calibri" w:eastAsia="Calibri" w:hAnsi="Calibri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semiHidden/>
    <w:rsid w:val="0003407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3407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f0">
    <w:name w:val="header"/>
    <w:basedOn w:val="a"/>
    <w:link w:val="af1"/>
    <w:uiPriority w:val="99"/>
    <w:unhideWhenUsed/>
    <w:rsid w:val="0003407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en-US"/>
    </w:rPr>
  </w:style>
  <w:style w:type="character" w:customStyle="1" w:styleId="af1">
    <w:name w:val="Верхний колонтитул Знак"/>
    <w:basedOn w:val="a0"/>
    <w:link w:val="af0"/>
    <w:uiPriority w:val="99"/>
    <w:rsid w:val="0003407C"/>
    <w:rPr>
      <w:rFonts w:ascii="Calibri" w:eastAsia="Calibri" w:hAnsi="Calibri" w:cs="Times New Roman"/>
      <w:lang w:val="en-US"/>
    </w:rPr>
  </w:style>
  <w:style w:type="paragraph" w:customStyle="1" w:styleId="Style2">
    <w:name w:val="Style2"/>
    <w:basedOn w:val="a"/>
    <w:rsid w:val="00034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1">
    <w:name w:val="Normal (Web)1"/>
    <w:basedOn w:val="a"/>
    <w:rsid w:val="0003407C"/>
    <w:pPr>
      <w:suppressAutoHyphens/>
      <w:spacing w:before="280" w:after="7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31">
    <w:name w:val="Body Text 3"/>
    <w:basedOn w:val="a"/>
    <w:link w:val="32"/>
    <w:rsid w:val="0003407C"/>
    <w:pPr>
      <w:spacing w:after="0" w:line="240" w:lineRule="auto"/>
      <w:jc w:val="both"/>
    </w:pPr>
    <w:rPr>
      <w:rFonts w:ascii="Times New Roman" w:eastAsia="Times New Roman" w:hAnsi="Times New Roman" w:cs="Times New Roman"/>
      <w:bCs/>
      <w:i/>
      <w:sz w:val="28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03407C"/>
    <w:rPr>
      <w:rFonts w:ascii="Times New Roman" w:eastAsia="Times New Roman" w:hAnsi="Times New Roman" w:cs="Times New Roman"/>
      <w:bCs/>
      <w:i/>
      <w:sz w:val="28"/>
      <w:szCs w:val="24"/>
      <w:lang w:val="x-none" w:eastAsia="x-none"/>
    </w:rPr>
  </w:style>
  <w:style w:type="paragraph" w:styleId="af2">
    <w:name w:val="Body Text"/>
    <w:basedOn w:val="a"/>
    <w:link w:val="af3"/>
    <w:uiPriority w:val="99"/>
    <w:semiHidden/>
    <w:unhideWhenUsed/>
    <w:rsid w:val="0003407C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03407C"/>
    <w:rPr>
      <w:rFonts w:ascii="Calibri" w:eastAsia="Calibri" w:hAnsi="Calibri" w:cs="Times New Roman"/>
      <w:lang w:val="en-US"/>
    </w:rPr>
  </w:style>
  <w:style w:type="paragraph" w:styleId="af4">
    <w:name w:val="Plain Text"/>
    <w:basedOn w:val="a"/>
    <w:link w:val="af5"/>
    <w:rsid w:val="0003407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03407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3407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03407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34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407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7">
    <w:name w:val="List Paragraph"/>
    <w:basedOn w:val="a"/>
    <w:uiPriority w:val="34"/>
    <w:qFormat/>
    <w:rsid w:val="007471D2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B4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9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volovnik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dda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dda.k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36</Pages>
  <Words>12767</Words>
  <Characters>72774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Praveen Kanumuru</cp:lastModifiedBy>
  <cp:revision>54</cp:revision>
  <dcterms:created xsi:type="dcterms:W3CDTF">2020-05-20T11:00:00Z</dcterms:created>
  <dcterms:modified xsi:type="dcterms:W3CDTF">2025-07-07T13:04:00Z</dcterms:modified>
</cp:coreProperties>
</file>